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2874"/>
        <w:gridCol w:w="7533"/>
        <w:gridCol w:w="6423"/>
        <w:gridCol w:w="2250"/>
        <w:gridCol w:w="2520"/>
      </w:tblGrid>
      <w:tr w:rsidR="00D17DF4" w:rsidRPr="00D17DF4" w14:paraId="745F0288" w14:textId="77777777" w:rsidTr="00D17DF4">
        <w:trPr>
          <w:cantSplit/>
          <w:tblHeader/>
        </w:trPr>
        <w:tc>
          <w:tcPr>
            <w:tcW w:w="21600" w:type="dxa"/>
            <w:gridSpan w:val="5"/>
            <w:tcBorders>
              <w:bottom w:val="single" w:sz="4" w:space="0" w:color="auto"/>
            </w:tcBorders>
            <w:shd w:val="clear" w:color="auto" w:fill="auto"/>
          </w:tcPr>
          <w:p w14:paraId="6FF3BB22" w14:textId="50B0E1E1" w:rsidR="00D17DF4" w:rsidRPr="00D17DF4" w:rsidRDefault="00D17DF4" w:rsidP="003B0252">
            <w:pPr>
              <w:pStyle w:val="ITRCTableColumnHeading"/>
              <w:rPr>
                <w:sz w:val="24"/>
                <w:szCs w:val="24"/>
              </w:rPr>
            </w:pPr>
            <w:bookmarkStart w:id="0" w:name="_Toc169717755"/>
            <w:r w:rsidRPr="00D17DF4">
              <w:rPr>
                <w:sz w:val="24"/>
                <w:szCs w:val="24"/>
              </w:rPr>
              <w:t>Table 4</w:t>
            </w:r>
            <w:r w:rsidRPr="00D17DF4">
              <w:rPr>
                <w:sz w:val="24"/>
                <w:szCs w:val="24"/>
              </w:rPr>
              <w:noBreakHyphen/>
              <w:t>9. Studies of 6PPD and 6PPD</w:t>
            </w:r>
            <w:r w:rsidRPr="00D17DF4">
              <w:rPr>
                <w:sz w:val="24"/>
                <w:szCs w:val="24"/>
              </w:rPr>
              <w:noBreakHyphen/>
              <w:t>q concentrations in indoor and nonroad settled dust</w:t>
            </w:r>
            <w:bookmarkEnd w:id="0"/>
          </w:p>
        </w:tc>
      </w:tr>
      <w:tr w:rsidR="002E5CD2" w:rsidRPr="00590C27" w14:paraId="2DC5D6F5" w14:textId="77777777" w:rsidTr="007E3B13">
        <w:trPr>
          <w:cantSplit/>
          <w:tblHeader/>
        </w:trPr>
        <w:tc>
          <w:tcPr>
            <w:tcW w:w="2874" w:type="dxa"/>
            <w:tcBorders>
              <w:top w:val="single" w:sz="4" w:space="0" w:color="auto"/>
              <w:left w:val="single" w:sz="4" w:space="0" w:color="auto"/>
              <w:bottom w:val="single" w:sz="4" w:space="0" w:color="auto"/>
              <w:right w:val="single" w:sz="4" w:space="0" w:color="auto"/>
            </w:tcBorders>
            <w:shd w:val="clear" w:color="auto" w:fill="auto"/>
            <w:hideMark/>
          </w:tcPr>
          <w:p w14:paraId="449EF4DC" w14:textId="77777777" w:rsidR="002E5CD2" w:rsidRPr="00590C27" w:rsidRDefault="002E5CD2" w:rsidP="003B0252">
            <w:pPr>
              <w:pStyle w:val="ITRCTableColumnHeading"/>
            </w:pPr>
            <w:r w:rsidRPr="00590C27">
              <w:t>Location</w:t>
            </w:r>
          </w:p>
        </w:tc>
        <w:tc>
          <w:tcPr>
            <w:tcW w:w="7533" w:type="dxa"/>
            <w:tcBorders>
              <w:top w:val="single" w:sz="4" w:space="0" w:color="auto"/>
              <w:left w:val="nil"/>
              <w:bottom w:val="single" w:sz="4" w:space="0" w:color="auto"/>
              <w:right w:val="single" w:sz="4" w:space="0" w:color="auto"/>
            </w:tcBorders>
            <w:shd w:val="clear" w:color="auto" w:fill="auto"/>
            <w:hideMark/>
          </w:tcPr>
          <w:p w14:paraId="21246893" w14:textId="77777777" w:rsidR="002E5CD2" w:rsidRPr="00590C27" w:rsidRDefault="002E5CD2" w:rsidP="003B0252">
            <w:pPr>
              <w:pStyle w:val="ITRCTableColumnHeading"/>
            </w:pPr>
            <w:r w:rsidRPr="00590C27">
              <w:t>Information</w:t>
            </w:r>
          </w:p>
        </w:tc>
        <w:tc>
          <w:tcPr>
            <w:tcW w:w="6423" w:type="dxa"/>
            <w:tcBorders>
              <w:top w:val="single" w:sz="4" w:space="0" w:color="auto"/>
              <w:left w:val="nil"/>
              <w:bottom w:val="single" w:sz="4" w:space="0" w:color="auto"/>
              <w:right w:val="single" w:sz="4" w:space="0" w:color="auto"/>
            </w:tcBorders>
            <w:shd w:val="clear" w:color="auto" w:fill="auto"/>
            <w:hideMark/>
          </w:tcPr>
          <w:p w14:paraId="0CCCA247" w14:textId="77777777" w:rsidR="002E5CD2" w:rsidRPr="00590C27" w:rsidRDefault="002E5CD2" w:rsidP="003B0252">
            <w:pPr>
              <w:pStyle w:val="ITRCTableColumnHeading"/>
            </w:pPr>
            <w:r w:rsidRPr="00590C27">
              <w:t>Concentration (ng/g)</w:t>
            </w:r>
          </w:p>
        </w:tc>
        <w:tc>
          <w:tcPr>
            <w:tcW w:w="2250" w:type="dxa"/>
            <w:tcBorders>
              <w:top w:val="single" w:sz="4" w:space="0" w:color="auto"/>
              <w:left w:val="nil"/>
              <w:bottom w:val="single" w:sz="4" w:space="0" w:color="auto"/>
              <w:right w:val="single" w:sz="4" w:space="0" w:color="auto"/>
            </w:tcBorders>
            <w:shd w:val="clear" w:color="auto" w:fill="auto"/>
            <w:hideMark/>
          </w:tcPr>
          <w:p w14:paraId="217A2D3A" w14:textId="77777777" w:rsidR="002E5CD2" w:rsidRPr="00590C27" w:rsidRDefault="002E5CD2" w:rsidP="003B0252">
            <w:pPr>
              <w:pStyle w:val="ITRCTableColumnHeading"/>
            </w:pPr>
            <w:r w:rsidRPr="00590C27">
              <w:t>Lab Instrumentation</w:t>
            </w:r>
          </w:p>
        </w:tc>
        <w:tc>
          <w:tcPr>
            <w:tcW w:w="2520" w:type="dxa"/>
            <w:tcBorders>
              <w:top w:val="single" w:sz="4" w:space="0" w:color="auto"/>
              <w:left w:val="nil"/>
              <w:bottom w:val="single" w:sz="4" w:space="0" w:color="auto"/>
              <w:right w:val="single" w:sz="4" w:space="0" w:color="auto"/>
            </w:tcBorders>
            <w:shd w:val="clear" w:color="auto" w:fill="auto"/>
            <w:hideMark/>
          </w:tcPr>
          <w:p w14:paraId="6725BCB8" w14:textId="77777777" w:rsidR="002E5CD2" w:rsidRPr="00590C27" w:rsidRDefault="002E5CD2" w:rsidP="003B0252">
            <w:pPr>
              <w:pStyle w:val="ITRCTableColumnHeading"/>
            </w:pPr>
            <w:r w:rsidRPr="00590C27">
              <w:t>Detection Limit</w:t>
            </w:r>
          </w:p>
        </w:tc>
      </w:tr>
      <w:tr w:rsidR="002E5CD2" w:rsidRPr="00590C27" w14:paraId="726339B1" w14:textId="77777777" w:rsidTr="007E3B13">
        <w:trPr>
          <w:cantSplit/>
        </w:trPr>
        <w:tc>
          <w:tcPr>
            <w:tcW w:w="2874" w:type="dxa"/>
            <w:tcBorders>
              <w:top w:val="nil"/>
              <w:left w:val="single" w:sz="4" w:space="0" w:color="auto"/>
              <w:bottom w:val="single" w:sz="4" w:space="0" w:color="auto"/>
              <w:right w:val="single" w:sz="4" w:space="0" w:color="auto"/>
            </w:tcBorders>
            <w:shd w:val="clear" w:color="auto" w:fill="auto"/>
            <w:hideMark/>
          </w:tcPr>
          <w:p w14:paraId="608E577A" w14:textId="4A1A9F72" w:rsidR="002E5CD2" w:rsidRDefault="00000000" w:rsidP="003B0252">
            <w:pPr>
              <w:pStyle w:val="Source"/>
            </w:pPr>
            <w:hyperlink r:id="rId9" w:history="1">
              <w:r w:rsidR="002E5CD2" w:rsidRPr="00590C27">
                <w:t>Guangzhou, China</w:t>
              </w:r>
            </w:hyperlink>
          </w:p>
          <w:p w14:paraId="19D42F00" w14:textId="75D4D207" w:rsidR="00022A27" w:rsidRPr="00590C27" w:rsidRDefault="003E16D3" w:rsidP="003E16D3">
            <w:r>
              <w:fldChar w:fldCharType="begin"/>
            </w:r>
            <w:r>
              <w:instrText xml:space="preserve"> ADDIN ZOTERO_ITEM CSL_CITATION {"citationID":"W9z9T2At","properties":{"formattedCitation":"(Liang et al. 2022)","plainCitation":"(Liang et al. 2022)","noteIndex":0},"citationItems":[{"id":1674,"uris":["http://zotero.org/groups/4889498/items/R9L3G5UH"],"itemData":{"id":1674,"type":"article-journal","abstract":"Our previous work demonstrated that massive emissions of hindered phenol antioxidants and sulfur-containing antioxidants from e-waste recycling; however, it remains unclear whether e-waste recycling also results in the emission of substantial quantities of amine antioxidants (AAs) and organophosphite antioxidants (OPAs), another two major classes of underresearched antioxidants. In this study, we continued to screen the previously studied e-waste dusts for a broad range of 21 AAs, two p-phenylenediamine-derived quinones, and 15 OPAs. All 21 AAs and 12 out of the 15 OPAs were detected in the samples, with the total concentrations ranging from 511 to 10,600 ng/g for AAs and from 155 to 33,200 ng/g for OPAs. Among the detected chemicals, nine were identiﬁed for the ﬁrst time in the environment. More importantly, N-(1,3-dimethylbutyl)-N′-phenyl-p-phenylenediamine-quinone (6PPD-quinone), the causal toxicant of acute mortality in coho salmon, was pervasively detected with greater environmental abundance (median: 375 ng/g) than its parent chemical 6PPD (median: 113 ng/g), demonstrating that e-waste as another source of ubiquitous 6PPD-quinone in addition to tire rubber. Waste wires, cables, and electronic plastics were identiﬁed as the main sources for e-waste-derived AAs and OPAs. Our work highlights a large group of antioxidant chemicals, including their transformation products, as emerging e-waste pollutants that require more attention.","container-title":"Environmental Science &amp; Technology Letters","DOI":"10.1021/acs.estlett.2c00366","ISSN":"2328-8930, 2328-8930","journalAbbreviation":"Environ. Sci. Technol. Lett.","language":"en","page":"acs.estlett.2c00366","source":"DOI.org (Crossref)","title":"E-waste recycling emits large quantities of emerging aromatic amines and organophosphites: A poorly recognized source for another two classes of synthetic antioxidants","title-short":"E-waste recycling emits large quantities of emerging aromatic amines and organophosphites","author":[{"family":"Liang","given":"Bowen"},{"family":"Li","given":"Jiehua"},{"family":"Du","given":"Bibai"},{"family":"Pan","given":"Zibin"},{"family":"Liu","given":"Liang-Ying"},{"family":"Zeng","given":"Lixi"}],"issued":{"date-parts":[["2022",6,30]]}}}],"schema":"https://github.com/citation-style-language/schema/raw/master/csl-citation.json"} </w:instrText>
            </w:r>
            <w:r>
              <w:fldChar w:fldCharType="separate"/>
            </w:r>
            <w:r w:rsidRPr="003E16D3">
              <w:rPr>
                <w:sz w:val="20"/>
              </w:rPr>
              <w:t>(Liang et al. 2022)</w:t>
            </w:r>
            <w:r>
              <w:fldChar w:fldCharType="end"/>
            </w:r>
          </w:p>
        </w:tc>
        <w:tc>
          <w:tcPr>
            <w:tcW w:w="7533" w:type="dxa"/>
            <w:tcBorders>
              <w:top w:val="nil"/>
              <w:left w:val="nil"/>
              <w:bottom w:val="single" w:sz="4" w:space="0" w:color="auto"/>
              <w:right w:val="single" w:sz="4" w:space="0" w:color="auto"/>
            </w:tcBorders>
            <w:shd w:val="clear" w:color="auto" w:fill="auto"/>
            <w:hideMark/>
          </w:tcPr>
          <w:p w14:paraId="7C1BDD1A" w14:textId="77777777" w:rsidR="002E5CD2" w:rsidRPr="00590C27" w:rsidRDefault="002E5CD2" w:rsidP="003B0252">
            <w:pPr>
              <w:pStyle w:val="ITRCTableText"/>
            </w:pPr>
            <w:r w:rsidRPr="00590C27">
              <w:t xml:space="preserve">In August 2020, researchers collected one sample each from 45 different e-waste recycling workshops within a larger e-waste recycling complex. The samples were analyzed for a range of antioxidants and </w:t>
            </w:r>
            <w:r>
              <w:t>transformation products</w:t>
            </w:r>
            <w:r w:rsidRPr="00590C27">
              <w:t>, including 6PPD and 6PPD</w:t>
            </w:r>
            <w:r>
              <w:noBreakHyphen/>
              <w:t>q</w:t>
            </w:r>
            <w:r w:rsidRPr="00590C27">
              <w:t>.</w:t>
            </w:r>
          </w:p>
        </w:tc>
        <w:tc>
          <w:tcPr>
            <w:tcW w:w="6423" w:type="dxa"/>
            <w:tcBorders>
              <w:top w:val="nil"/>
              <w:left w:val="nil"/>
              <w:bottom w:val="single" w:sz="4" w:space="0" w:color="auto"/>
              <w:right w:val="single" w:sz="4" w:space="0" w:color="auto"/>
            </w:tcBorders>
            <w:shd w:val="clear" w:color="auto" w:fill="auto"/>
            <w:hideMark/>
          </w:tcPr>
          <w:p w14:paraId="53FE20EF" w14:textId="77777777" w:rsidR="002E5CD2" w:rsidRDefault="002E5CD2" w:rsidP="003B0252">
            <w:pPr>
              <w:pStyle w:val="ITRCTableText"/>
            </w:pPr>
            <w:r w:rsidRPr="00590C27">
              <w:t>The concentrations of 6PPD and 6PPD</w:t>
            </w:r>
            <w:r>
              <w:noBreakHyphen/>
              <w:t>q</w:t>
            </w:r>
            <w:r w:rsidRPr="00590C27">
              <w:t xml:space="preserve"> in e-waste dust were found to be [median (range)]:</w:t>
            </w:r>
          </w:p>
          <w:p w14:paraId="57425FA4" w14:textId="77777777" w:rsidR="002E5CD2" w:rsidRPr="00590C27" w:rsidRDefault="002E5CD2" w:rsidP="003B0252">
            <w:pPr>
              <w:pStyle w:val="ITRCTableText"/>
            </w:pPr>
            <w:r w:rsidRPr="00590C27">
              <w:t>6PPD: 113 (13.8–1,020)</w:t>
            </w:r>
            <w:r w:rsidRPr="00590C27">
              <w:br/>
              <w:t>6PPD</w:t>
            </w:r>
            <w:r>
              <w:noBreakHyphen/>
              <w:t>q</w:t>
            </w:r>
            <w:r w:rsidRPr="00590C27">
              <w:t>: 375 (87.1–2,850)</w:t>
            </w:r>
          </w:p>
        </w:tc>
        <w:tc>
          <w:tcPr>
            <w:tcW w:w="2250" w:type="dxa"/>
            <w:tcBorders>
              <w:top w:val="nil"/>
              <w:left w:val="nil"/>
              <w:bottom w:val="single" w:sz="4" w:space="0" w:color="auto"/>
              <w:right w:val="single" w:sz="4" w:space="0" w:color="auto"/>
            </w:tcBorders>
            <w:shd w:val="clear" w:color="auto" w:fill="auto"/>
            <w:noWrap/>
            <w:hideMark/>
          </w:tcPr>
          <w:p w14:paraId="285C0938" w14:textId="77777777" w:rsidR="002E5CD2" w:rsidRPr="00590C27" w:rsidRDefault="002E5CD2" w:rsidP="003B0252">
            <w:pPr>
              <w:pStyle w:val="ITRCTableText"/>
            </w:pPr>
            <w:r w:rsidRPr="00590C27">
              <w:t>LC-MS/MS</w:t>
            </w:r>
          </w:p>
        </w:tc>
        <w:tc>
          <w:tcPr>
            <w:tcW w:w="2520" w:type="dxa"/>
            <w:tcBorders>
              <w:top w:val="nil"/>
              <w:left w:val="nil"/>
              <w:bottom w:val="single" w:sz="4" w:space="0" w:color="auto"/>
              <w:right w:val="single" w:sz="4" w:space="0" w:color="auto"/>
            </w:tcBorders>
            <w:shd w:val="clear" w:color="auto" w:fill="auto"/>
            <w:hideMark/>
          </w:tcPr>
          <w:p w14:paraId="6DDA7FBC" w14:textId="77777777" w:rsidR="002E5CD2" w:rsidRPr="00590C27" w:rsidRDefault="002E5CD2" w:rsidP="003B0252">
            <w:pPr>
              <w:pStyle w:val="ITRCTableText"/>
            </w:pPr>
            <w:r w:rsidRPr="00590C27">
              <w:t>MDL (ng/g):</w:t>
            </w:r>
            <w:r w:rsidRPr="00590C27">
              <w:br/>
              <w:t>6PPD: 0.96</w:t>
            </w:r>
            <w:r w:rsidRPr="00590C27">
              <w:br/>
              <w:t>6PPD</w:t>
            </w:r>
            <w:r>
              <w:noBreakHyphen/>
              <w:t>q</w:t>
            </w:r>
            <w:r w:rsidRPr="00590C27">
              <w:t>: 1.8</w:t>
            </w:r>
          </w:p>
        </w:tc>
      </w:tr>
      <w:tr w:rsidR="002E5CD2" w:rsidRPr="00590C27" w14:paraId="27230B98" w14:textId="77777777" w:rsidTr="007E3B13">
        <w:trPr>
          <w:cantSplit/>
        </w:trPr>
        <w:tc>
          <w:tcPr>
            <w:tcW w:w="2874" w:type="dxa"/>
            <w:tcBorders>
              <w:top w:val="nil"/>
              <w:left w:val="single" w:sz="4" w:space="0" w:color="auto"/>
              <w:bottom w:val="single" w:sz="4" w:space="0" w:color="auto"/>
              <w:right w:val="single" w:sz="4" w:space="0" w:color="auto"/>
            </w:tcBorders>
            <w:shd w:val="clear" w:color="auto" w:fill="auto"/>
            <w:hideMark/>
          </w:tcPr>
          <w:p w14:paraId="6BD0E2B4" w14:textId="0998C0F4" w:rsidR="002E5CD2" w:rsidRPr="00BC7A19" w:rsidRDefault="00BC7A19" w:rsidP="003B0252">
            <w:pPr>
              <w:pStyle w:val="Source"/>
              <w:rPr>
                <w:rStyle w:val="Hyperlink"/>
              </w:rPr>
            </w:pPr>
            <w:r>
              <w:fldChar w:fldCharType="begin"/>
            </w:r>
            <w:r>
              <w:instrText>HYPERLINK "https://doi.org/10.1016/j.ecoenv.2018.12.036"</w:instrText>
            </w:r>
            <w:r>
              <w:fldChar w:fldCharType="separate"/>
            </w:r>
            <w:r w:rsidR="002E5CD2" w:rsidRPr="00BC7A19">
              <w:rPr>
                <w:rStyle w:val="Hyperlink"/>
              </w:rPr>
              <w:t>Beijing, China</w:t>
            </w:r>
          </w:p>
          <w:p w14:paraId="63A938CE" w14:textId="4A8D2BEF" w:rsidR="003E16D3" w:rsidRPr="00590C27" w:rsidRDefault="00BC7A19" w:rsidP="00BC7A19">
            <w:r>
              <w:fldChar w:fldCharType="end"/>
            </w:r>
            <w:r w:rsidR="000C69FD">
              <w:fldChar w:fldCharType="begin"/>
            </w:r>
            <w:r>
              <w:instrText xml:space="preserve"> ADDIN ZOTERO_ITEM CSL_CITATION {"citationID":"QaN0tseS","properties":{"formattedCitation":"(Liu et al. 2019)","plainCitation":"(Liu et al. 2019)","noteIndex":0},"citationItems":[{"id":1199,"uris":["http://zotero.org/groups/4911552/items/TL9MEY5E"],"itemData":{"id":1199,"type":"article-journal","abstract":"Aromatic secondary amines (Ar-SAs), constituted of several analogues with varied substitutions in molecular structure, are among the most frequently used anthropogenic antioxidants. Despite the reported toxicity effects, little information is available on their environmental contamination, except for few particular congeners such as diphenylamine. In this study, the occurrence of two kinds of Ar-SAs, substituted diphenylamines (S-DPAs) and novel substituted p-phenylenediamines (S-PPDs), was investigated in dust samples collected from outdoor rubber playgrounds and residential houses. Seven S-DPAs (GM: 102 ng/g) and two S-PPDs (GM: 20.9 ng/g) were detected in indoor dust. Significantly higher concentrations of S-DPAs (GM: 422 ng/g) and S-PPDs (GM: 31.6 ng/g) were observed in playground dust (p &lt; 0.05). Different dominant Ar-SA congeners were found for indoor dust (low molecular weight Ar-SAs) and playground dust (high molecular weight Ar-SAs), indicating varied sources of Ar-SAs for different dust matrices. Apart from these parent chemicals, three diphenylamine derivatives, including N-nitrosodiphenylamine, 2-nitrodiphenylamine, and 4-nitrodiphenylamine, were also confirmed in indoor dust (GM: 35.7 ng/g) and playground dust (GM: 7.88 ng/g). A preliminary estimated daily intake calculation via dust ingestion indicated no immediate health risk to Chinese population. To our knowledge, this is the first report on the occurrence of a wide range of Ar-SAs and related derivates in dust matrices.","container-title":"Ecotoxicology and Environmental Safety","DOI":"10.1016/j.ecoenv.2018.12.036","ISSN":"0147-6513","journalAbbreviation":"Ecotoxicology and Environmental Safety","page":"657-663","source":"ScienceDirect","title":"Emerging aromatic secondary amine contaminants and related derivatives in various dust matrices in China","volume":"170","author":[{"family":"Liu","given":"Runzeng"},{"family":"Li","given":"Yiling"},{"family":"Lin","given":"Yongfeng"},{"family":"Ruan","given":"Ting"},{"family":"Jiang","given":"Guibin"}],"issued":{"date-parts":[["2019",4,15]]}},"label":"page"}],"schema":"https://github.com/citation-style-language/schema/raw/master/csl-citation.json"} </w:instrText>
            </w:r>
            <w:r w:rsidR="000C69FD">
              <w:fldChar w:fldCharType="separate"/>
            </w:r>
            <w:r w:rsidRPr="00BC7A19">
              <w:rPr>
                <w:sz w:val="20"/>
              </w:rPr>
              <w:t>(Liu et al. 2019)</w:t>
            </w:r>
            <w:r w:rsidR="000C69FD">
              <w:fldChar w:fldCharType="end"/>
            </w:r>
          </w:p>
        </w:tc>
        <w:tc>
          <w:tcPr>
            <w:tcW w:w="7533" w:type="dxa"/>
            <w:tcBorders>
              <w:top w:val="nil"/>
              <w:left w:val="nil"/>
              <w:bottom w:val="single" w:sz="4" w:space="0" w:color="auto"/>
              <w:right w:val="single" w:sz="4" w:space="0" w:color="auto"/>
            </w:tcBorders>
            <w:shd w:val="clear" w:color="auto" w:fill="auto"/>
            <w:hideMark/>
          </w:tcPr>
          <w:p w14:paraId="6DF51A43" w14:textId="1F4C75A9" w:rsidR="002E5CD2" w:rsidRPr="00590C27" w:rsidRDefault="002E5CD2" w:rsidP="003B0252">
            <w:pPr>
              <w:pStyle w:val="ITRCTableText"/>
            </w:pPr>
            <w:r w:rsidRPr="00590C27">
              <w:t>In March 2016, researchers collected dust samples from 30 different rubber playgrounds and from living rooms in 30 different homes in Beijing and analyzed them for three PPD, including 6PPD.</w:t>
            </w:r>
          </w:p>
        </w:tc>
        <w:tc>
          <w:tcPr>
            <w:tcW w:w="6423" w:type="dxa"/>
            <w:tcBorders>
              <w:top w:val="nil"/>
              <w:left w:val="nil"/>
              <w:bottom w:val="single" w:sz="4" w:space="0" w:color="auto"/>
              <w:right w:val="single" w:sz="4" w:space="0" w:color="auto"/>
            </w:tcBorders>
            <w:shd w:val="clear" w:color="auto" w:fill="auto"/>
            <w:hideMark/>
          </w:tcPr>
          <w:p w14:paraId="6EFD7DF7" w14:textId="77777777" w:rsidR="002E5CD2" w:rsidRDefault="002E5CD2" w:rsidP="003B0252">
            <w:pPr>
              <w:pStyle w:val="ITRCTableText"/>
            </w:pPr>
            <w:r w:rsidRPr="00590C27">
              <w:t>The concentrations of 6PPD in playground dust and indoor dust were found to be [geometric mean (range)]:</w:t>
            </w:r>
          </w:p>
          <w:p w14:paraId="0DD64FDD" w14:textId="77777777" w:rsidR="002E5CD2" w:rsidRDefault="002E5CD2" w:rsidP="003B0252">
            <w:pPr>
              <w:pStyle w:val="ITRCTableText"/>
            </w:pPr>
            <w:r w:rsidRPr="00590C27">
              <w:t>Playground dust:</w:t>
            </w:r>
            <w:r w:rsidRPr="00590C27">
              <w:br/>
              <w:t>6PPD: 30.4 (&lt;MQL</w:t>
            </w:r>
            <w:r>
              <w:t>–</w:t>
            </w:r>
            <w:r w:rsidRPr="00590C27">
              <w:t>685)</w:t>
            </w:r>
          </w:p>
          <w:p w14:paraId="71C290BF" w14:textId="77777777" w:rsidR="002E5CD2" w:rsidRPr="00590C27" w:rsidRDefault="002E5CD2" w:rsidP="003B0252">
            <w:pPr>
              <w:pStyle w:val="ITRCTableText"/>
            </w:pPr>
            <w:r w:rsidRPr="00590C27">
              <w:t>Indoor dust:</w:t>
            </w:r>
            <w:r w:rsidRPr="00590C27">
              <w:br/>
              <w:t>6PPD: 16.4 (&lt;MQL</w:t>
            </w:r>
            <w:r>
              <w:t>–</w:t>
            </w:r>
            <w:r w:rsidRPr="00590C27">
              <w:t>180)</w:t>
            </w:r>
          </w:p>
        </w:tc>
        <w:tc>
          <w:tcPr>
            <w:tcW w:w="2250" w:type="dxa"/>
            <w:tcBorders>
              <w:top w:val="nil"/>
              <w:left w:val="nil"/>
              <w:bottom w:val="single" w:sz="4" w:space="0" w:color="auto"/>
              <w:right w:val="single" w:sz="4" w:space="0" w:color="auto"/>
            </w:tcBorders>
            <w:shd w:val="clear" w:color="auto" w:fill="auto"/>
            <w:hideMark/>
          </w:tcPr>
          <w:p w14:paraId="5037E9D2" w14:textId="77777777" w:rsidR="002E5CD2" w:rsidRPr="00590C27" w:rsidRDefault="002E5CD2" w:rsidP="003B0252">
            <w:pPr>
              <w:pStyle w:val="ITRCTableText"/>
            </w:pPr>
            <w:r w:rsidRPr="00590C27">
              <w:t>ASE &amp; UHPLC</w:t>
            </w:r>
          </w:p>
        </w:tc>
        <w:tc>
          <w:tcPr>
            <w:tcW w:w="2520" w:type="dxa"/>
            <w:tcBorders>
              <w:top w:val="nil"/>
              <w:left w:val="nil"/>
              <w:bottom w:val="single" w:sz="4" w:space="0" w:color="auto"/>
              <w:right w:val="single" w:sz="4" w:space="0" w:color="auto"/>
            </w:tcBorders>
            <w:shd w:val="clear" w:color="auto" w:fill="auto"/>
            <w:hideMark/>
          </w:tcPr>
          <w:p w14:paraId="0C11EFA4" w14:textId="77777777" w:rsidR="002E5CD2" w:rsidRPr="00590C27" w:rsidRDefault="002E5CD2" w:rsidP="003B0252">
            <w:pPr>
              <w:pStyle w:val="ITRCTableText"/>
            </w:pPr>
            <w:r w:rsidRPr="00590C27">
              <w:t>Not available*</w:t>
            </w:r>
          </w:p>
        </w:tc>
      </w:tr>
      <w:tr w:rsidR="002E5CD2" w:rsidRPr="00590C27" w14:paraId="3F8D3324" w14:textId="77777777" w:rsidTr="007E3B13">
        <w:trPr>
          <w:cantSplit/>
        </w:trPr>
        <w:tc>
          <w:tcPr>
            <w:tcW w:w="2874" w:type="dxa"/>
            <w:tcBorders>
              <w:top w:val="nil"/>
              <w:left w:val="single" w:sz="4" w:space="0" w:color="auto"/>
              <w:bottom w:val="single" w:sz="4" w:space="0" w:color="auto"/>
              <w:right w:val="single" w:sz="4" w:space="0" w:color="auto"/>
            </w:tcBorders>
            <w:shd w:val="clear" w:color="auto" w:fill="auto"/>
            <w:hideMark/>
          </w:tcPr>
          <w:p w14:paraId="3F2FFDB9" w14:textId="3FA9D700" w:rsidR="002E5CD2" w:rsidRDefault="00000000" w:rsidP="003B0252">
            <w:pPr>
              <w:pStyle w:val="Source"/>
            </w:pPr>
            <w:hyperlink r:id="rId10" w:history="1">
              <w:r w:rsidR="002E5CD2" w:rsidRPr="00590C27">
                <w:t>Guangzhou, China</w:t>
              </w:r>
            </w:hyperlink>
          </w:p>
          <w:p w14:paraId="068095B9" w14:textId="260FCC67" w:rsidR="00BC7A19" w:rsidRPr="00590C27" w:rsidRDefault="000E1BD3" w:rsidP="000E1BD3">
            <w:r>
              <w:fldChar w:fldCharType="begin"/>
            </w:r>
            <w:r w:rsidR="00CE7CD8">
              <w:instrText xml:space="preserve"> ADDIN ZOTERO_ITEM CSL_CITATION {"citationID":"REvrG5qI","properties":{"formattedCitation":"(Y.-J. Zhang et al. 2022)","plainCitation":"(Y.-J. Zhang et al. 2022)","noteIndex":0},"citationItems":[{"id":1727,"uris":["http://zotero.org/groups/4889498/items/KDXBTB5C"],"itemData":{"id":1727,"type":"article-journal","abstract":"Transformed from the antioxidant N-(1,3-dimethylbutyl)-N′-\nphenyl-p-phenylenediamine (6-PPD), the emerging toxicant 6-PPD quinone\n(6-PPDQ) has received extensive attention because of its potential toxic\neffects. However, evidence on the size distribution patterns of atmospheric\nparticles and environmental occurrence remains limited. We determined 6-\nPPDQ pollution levels in eight size-segregated particles (0.43−10 μm) from\nfour waste recycling plants and dust samples from six typical indoor\ncompartments in South China. 6-PPDQ tended to accumulate in the coarse\nparticles (9−10 μm) with the highest concentrations (7.78−23.2 pg m−3).\nModel simulations revealed that the deposition efficiency (flux) of particlebound\n6-PPDQ were 89%−91% (10.8−39.1 pg h−1), 3.2%−3.8% (0.45−1.64\npg h−1), and 6.0%−6.9% (0.80−2.85 pg h−1) in workers’ head airways,\ntracheobronchial, and pulmonary alveoli areas of respiratory tracts,\nrespectively. The dust matrix was not the main carrier of 6-PPDQ, because\nof its lower concentrations in multiple indoor environments than those of suspended air particles. In-vehicle and rubber-related\nplaces seemed to be the areas most polluted by this ozone-initiated quinone. Our study further enriches the knowledge on the\nubiquitous distributions of environmental 6-PPDQ. Additional toxicity experiments should be conducted using 6-PPDQ, based on\nthe high exposure risk for humans the upper respiratory tract via inhalation.","container-title":"Environmental Science &amp; Technology Letters","DOI":"https://doi.org/10.1021/acs.estlett.2c00193","issue":"5","note":"number: 5","page":"420-425","title":"Widespread N‑(1,3-Dimethylbutyl)‑N′‑phenyl‑p‑phenylenediamine Quinone in Size-Fractioned Atmospheric Particles and Dust of Different Indoor Environments","volume":"9","author":[{"family":"Zhang","given":"Ying-Jie"},{"family":"Xu","given":"Ting-Ting"},{"family":"Ye","given":"Dong-Min"},{"family":"Lin","given":"Ze-Zhao"},{"family":"Wang","given":"Fei"},{"family":"Guo","given":"Ying"}],"issued":{"date-parts":[["2022"]]}}}],"schema":"https://github.com/citation-style-language/schema/raw/master/csl-citation.json"} </w:instrText>
            </w:r>
            <w:r>
              <w:fldChar w:fldCharType="separate"/>
            </w:r>
            <w:r w:rsidR="00CE7CD8" w:rsidRPr="00CE7CD8">
              <w:rPr>
                <w:sz w:val="20"/>
              </w:rPr>
              <w:t>(Y.-J. Zhang et al. 2022)</w:t>
            </w:r>
            <w:r>
              <w:fldChar w:fldCharType="end"/>
            </w:r>
          </w:p>
        </w:tc>
        <w:tc>
          <w:tcPr>
            <w:tcW w:w="7533" w:type="dxa"/>
            <w:tcBorders>
              <w:top w:val="nil"/>
              <w:left w:val="nil"/>
              <w:bottom w:val="single" w:sz="4" w:space="0" w:color="auto"/>
              <w:right w:val="single" w:sz="4" w:space="0" w:color="auto"/>
            </w:tcBorders>
            <w:shd w:val="clear" w:color="auto" w:fill="auto"/>
            <w:hideMark/>
          </w:tcPr>
          <w:p w14:paraId="0DFC82F9" w14:textId="77777777" w:rsidR="002E5CD2" w:rsidRDefault="002E5CD2" w:rsidP="003B0252">
            <w:pPr>
              <w:pStyle w:val="ITRCTableText"/>
            </w:pPr>
            <w:r w:rsidRPr="00590C27">
              <w:t>From April</w:t>
            </w:r>
            <w:r>
              <w:t>–</w:t>
            </w:r>
            <w:r w:rsidRPr="00590C27">
              <w:t>August 2021, researchers collected dust samples from different indoor environments and analyzed them for 6PPD</w:t>
            </w:r>
            <w:r>
              <w:noBreakHyphen/>
              <w:t>q</w:t>
            </w:r>
            <w:r w:rsidRPr="00590C27">
              <w:t>, including air conditioner filters in college male (n</w:t>
            </w:r>
            <w:r>
              <w:t>=</w:t>
            </w:r>
            <w:r w:rsidRPr="00590C27">
              <w:t>16) and female (n</w:t>
            </w:r>
            <w:r>
              <w:t>=</w:t>
            </w:r>
            <w:r w:rsidRPr="00590C27">
              <w:t>16) dormitories and residential houses (n</w:t>
            </w:r>
            <w:r>
              <w:t>=</w:t>
            </w:r>
            <w:r w:rsidRPr="00590C27">
              <w:t>18), as well as settled dust in residential bedrooms (n</w:t>
            </w:r>
            <w:r>
              <w:t>=</w:t>
            </w:r>
            <w:r w:rsidRPr="00590C27">
              <w:t>16), buses (n</w:t>
            </w:r>
            <w:r>
              <w:t>=</w:t>
            </w:r>
            <w:r w:rsidRPr="00590C27">
              <w:t>17), and shopping</w:t>
            </w:r>
            <w:r>
              <w:t xml:space="preserve"> </w:t>
            </w:r>
            <w:r w:rsidRPr="00590C27">
              <w:t>malls (n</w:t>
            </w:r>
            <w:r>
              <w:t>=</w:t>
            </w:r>
            <w:r w:rsidRPr="00590C27">
              <w:t>20).</w:t>
            </w:r>
          </w:p>
          <w:p w14:paraId="2B3936BE" w14:textId="77777777" w:rsidR="002E5CD2" w:rsidRPr="00590C27" w:rsidRDefault="002E5CD2" w:rsidP="003B0252">
            <w:pPr>
              <w:pStyle w:val="ITRCTableText"/>
            </w:pPr>
            <w:r w:rsidRPr="00590C27">
              <w:t>As part of this study, researchers also measured indoor air concentrations of 6PPD</w:t>
            </w:r>
            <w:r>
              <w:noBreakHyphen/>
              <w:t>q</w:t>
            </w:r>
            <w:r w:rsidRPr="00590C27">
              <w:t xml:space="preserve"> concentrations in eight size-segregated particles (0.43−10 </w:t>
            </w:r>
            <w:proofErr w:type="spellStart"/>
            <w:r w:rsidRPr="00590C27">
              <w:t>μm</w:t>
            </w:r>
            <w:proofErr w:type="spellEnd"/>
            <w:r w:rsidRPr="00590C27">
              <w:t>) at four waste recycling plants (n</w:t>
            </w:r>
            <w:r>
              <w:t>=</w:t>
            </w:r>
            <w:r w:rsidRPr="00590C27">
              <w:t>160) in September and December 2020.</w:t>
            </w:r>
            <w:r>
              <w:t xml:space="preserve"> </w:t>
            </w:r>
            <w:r w:rsidRPr="00590C27">
              <w:t>At the same time settled</w:t>
            </w:r>
            <w:r>
              <w:t>-</w:t>
            </w:r>
            <w:r w:rsidRPr="00590C27">
              <w:t>dust samples (n</w:t>
            </w:r>
            <w:r>
              <w:t>=</w:t>
            </w:r>
            <w:r w:rsidRPr="00590C27">
              <w:t>24) were collected from the plants and analyzed for 6PPD</w:t>
            </w:r>
            <w:r>
              <w:noBreakHyphen/>
              <w:t>q</w:t>
            </w:r>
            <w:r w:rsidRPr="00590C27">
              <w:t>.</w:t>
            </w:r>
          </w:p>
        </w:tc>
        <w:tc>
          <w:tcPr>
            <w:tcW w:w="6423" w:type="dxa"/>
            <w:tcBorders>
              <w:top w:val="nil"/>
              <w:left w:val="nil"/>
              <w:bottom w:val="single" w:sz="4" w:space="0" w:color="auto"/>
              <w:right w:val="single" w:sz="4" w:space="0" w:color="auto"/>
            </w:tcBorders>
            <w:shd w:val="clear" w:color="auto" w:fill="auto"/>
            <w:hideMark/>
          </w:tcPr>
          <w:p w14:paraId="4CF5D7E9" w14:textId="77777777" w:rsidR="002E5CD2" w:rsidRDefault="002E5CD2" w:rsidP="003B0252">
            <w:pPr>
              <w:pStyle w:val="ITRCTableText"/>
            </w:pPr>
            <w:r w:rsidRPr="00590C27">
              <w:t>The concentrations of 6PPD</w:t>
            </w:r>
            <w:r>
              <w:noBreakHyphen/>
              <w:t>q</w:t>
            </w:r>
            <w:r w:rsidRPr="00590C27">
              <w:t xml:space="preserve"> in indoor dust were found to be [mean ± SD (range)]:</w:t>
            </w:r>
          </w:p>
          <w:p w14:paraId="0E68EB07" w14:textId="77777777" w:rsidR="002E5CD2" w:rsidRDefault="002E5CD2" w:rsidP="003B0252">
            <w:pPr>
              <w:pStyle w:val="ITRCTableText"/>
            </w:pPr>
            <w:r w:rsidRPr="00590C27">
              <w:t>Air conditioner filters:</w:t>
            </w:r>
            <w:r w:rsidRPr="00590C27">
              <w:br/>
              <w:t>Male dormitories: 4.76 ± 2.81 (1.95</w:t>
            </w:r>
            <w:r>
              <w:t>–</w:t>
            </w:r>
            <w:r w:rsidRPr="00590C27">
              <w:t>13.4)</w:t>
            </w:r>
            <w:r w:rsidRPr="00590C27">
              <w:br/>
              <w:t>Female dormitories:</w:t>
            </w:r>
            <w:r>
              <w:t xml:space="preserve"> </w:t>
            </w:r>
            <w:r w:rsidRPr="00590C27">
              <w:t>6.78 ± 2.98 (2.85</w:t>
            </w:r>
            <w:r>
              <w:t>–</w:t>
            </w:r>
            <w:r w:rsidRPr="00590C27">
              <w:t>12.6)</w:t>
            </w:r>
            <w:r w:rsidRPr="00590C27">
              <w:br/>
              <w:t>Residential houses: 11.4 ± 8.11 (0.62</w:t>
            </w:r>
            <w:r>
              <w:t>–</w:t>
            </w:r>
            <w:r w:rsidRPr="00590C27">
              <w:t xml:space="preserve">31.7) </w:t>
            </w:r>
          </w:p>
          <w:p w14:paraId="6A0D15CD" w14:textId="77777777" w:rsidR="002E5CD2" w:rsidRDefault="002E5CD2" w:rsidP="003B0252">
            <w:pPr>
              <w:pStyle w:val="ITRCTableText"/>
            </w:pPr>
            <w:r w:rsidRPr="00590C27">
              <w:t>Settled dust:</w:t>
            </w:r>
            <w:r w:rsidRPr="00590C27">
              <w:br/>
              <w:t>Residential bedrooms: 10.7 ± 7.58 (0.97</w:t>
            </w:r>
            <w:r>
              <w:t>–</w:t>
            </w:r>
            <w:r w:rsidRPr="00590C27">
              <w:t xml:space="preserve">26.1) </w:t>
            </w:r>
            <w:r w:rsidRPr="00590C27">
              <w:br/>
              <w:t>Buses: 43.0 ± 12.9 (19.7</w:t>
            </w:r>
            <w:r>
              <w:t>–</w:t>
            </w:r>
            <w:r w:rsidRPr="00590C27">
              <w:t xml:space="preserve">71.4) </w:t>
            </w:r>
            <w:r w:rsidRPr="00590C27">
              <w:br/>
            </w:r>
            <w:proofErr w:type="gramStart"/>
            <w:r w:rsidRPr="00590C27">
              <w:t>Shopping malls</w:t>
            </w:r>
            <w:proofErr w:type="gramEnd"/>
            <w:r w:rsidRPr="00590C27">
              <w:t>: 23.5 ± 23.4 (3.92</w:t>
            </w:r>
            <w:r>
              <w:t>–</w:t>
            </w:r>
            <w:r w:rsidRPr="00590C27">
              <w:t>106)</w:t>
            </w:r>
          </w:p>
          <w:p w14:paraId="130A4466" w14:textId="77777777" w:rsidR="002E5CD2" w:rsidRDefault="002E5CD2" w:rsidP="003B0252">
            <w:pPr>
              <w:pStyle w:val="ITRCTableText"/>
            </w:pPr>
            <w:r w:rsidRPr="00590C27">
              <w:t>The reported concentrations of 6PPD</w:t>
            </w:r>
            <w:r>
              <w:noBreakHyphen/>
              <w:t>q</w:t>
            </w:r>
            <w:r w:rsidRPr="00590C27">
              <w:t xml:space="preserve"> in indoor air were [median (range)]:</w:t>
            </w:r>
          </w:p>
          <w:p w14:paraId="0BEEB840" w14:textId="77777777" w:rsidR="002E5CD2" w:rsidRPr="00590C27" w:rsidRDefault="002E5CD2" w:rsidP="003B0252">
            <w:pPr>
              <w:pStyle w:val="ITRCTableText"/>
            </w:pPr>
            <w:r w:rsidRPr="00590C27">
              <w:t>0.43</w:t>
            </w:r>
            <w:r>
              <w:t>–</w:t>
            </w:r>
            <w:r w:rsidRPr="00590C27">
              <w:t>0.65</w:t>
            </w:r>
            <w:r>
              <w:t> </w:t>
            </w:r>
            <w:r w:rsidRPr="00590C27">
              <w:t>µm size: 2.75 (ND</w:t>
            </w:r>
            <w:r>
              <w:t>–</w:t>
            </w:r>
            <w:r w:rsidRPr="00590C27">
              <w:t>9.52)</w:t>
            </w:r>
            <w:r w:rsidRPr="00590C27">
              <w:br/>
              <w:t>0.65</w:t>
            </w:r>
            <w:r>
              <w:t>–</w:t>
            </w:r>
            <w:r w:rsidRPr="00590C27">
              <w:t>1.1</w:t>
            </w:r>
            <w:r>
              <w:t> </w:t>
            </w:r>
            <w:r w:rsidRPr="00590C27">
              <w:t>µm size: 2.07 (ND</w:t>
            </w:r>
            <w:r>
              <w:t>–</w:t>
            </w:r>
            <w:r w:rsidRPr="00590C27">
              <w:t>12.2)</w:t>
            </w:r>
            <w:r w:rsidRPr="00590C27">
              <w:br/>
              <w:t>1.1</w:t>
            </w:r>
            <w:r>
              <w:t>–</w:t>
            </w:r>
            <w:r w:rsidRPr="00590C27">
              <w:t>2.1</w:t>
            </w:r>
            <w:r>
              <w:t> </w:t>
            </w:r>
            <w:r w:rsidRPr="00590C27">
              <w:t>µm size: 1.17 (ND</w:t>
            </w:r>
            <w:r>
              <w:t>–</w:t>
            </w:r>
            <w:r w:rsidRPr="00590C27">
              <w:t>6.81)</w:t>
            </w:r>
            <w:r w:rsidRPr="00590C27">
              <w:br/>
              <w:t>2.1</w:t>
            </w:r>
            <w:r>
              <w:t>–</w:t>
            </w:r>
            <w:r w:rsidRPr="00590C27">
              <w:t>3.3</w:t>
            </w:r>
            <w:r>
              <w:t> </w:t>
            </w:r>
            <w:r w:rsidRPr="00590C27">
              <w:t>µm size: 2.22 (0.17</w:t>
            </w:r>
            <w:r>
              <w:t>–</w:t>
            </w:r>
            <w:r w:rsidRPr="00590C27">
              <w:t>13.1)</w:t>
            </w:r>
            <w:r w:rsidRPr="00590C27">
              <w:br/>
              <w:t>3.3</w:t>
            </w:r>
            <w:r>
              <w:t>–</w:t>
            </w:r>
            <w:r w:rsidRPr="00590C27">
              <w:t>4.7</w:t>
            </w:r>
            <w:r>
              <w:t> </w:t>
            </w:r>
            <w:r w:rsidRPr="00590C27">
              <w:t>µm size: 4.1 (0.89</w:t>
            </w:r>
            <w:r>
              <w:t>–</w:t>
            </w:r>
            <w:r w:rsidRPr="00590C27">
              <w:t>18.9)</w:t>
            </w:r>
            <w:r w:rsidRPr="00590C27">
              <w:br/>
              <w:t>4.7</w:t>
            </w:r>
            <w:r>
              <w:t>–</w:t>
            </w:r>
            <w:r w:rsidRPr="00590C27">
              <w:t>5.8</w:t>
            </w:r>
            <w:r>
              <w:t> </w:t>
            </w:r>
            <w:r w:rsidRPr="00590C27">
              <w:t>µm size: 4.66 (1.46</w:t>
            </w:r>
            <w:r>
              <w:t>–</w:t>
            </w:r>
            <w:r w:rsidRPr="00590C27">
              <w:t>17.0)</w:t>
            </w:r>
            <w:r w:rsidRPr="00590C27">
              <w:br/>
              <w:t>5.8</w:t>
            </w:r>
            <w:r>
              <w:t>–</w:t>
            </w:r>
            <w:r w:rsidRPr="00590C27">
              <w:t>9.0</w:t>
            </w:r>
            <w:r>
              <w:t> </w:t>
            </w:r>
            <w:r w:rsidRPr="00590C27">
              <w:t>µm size: 9.43 (2.37</w:t>
            </w:r>
            <w:r>
              <w:t>–</w:t>
            </w:r>
            <w:r w:rsidRPr="00590C27">
              <w:t>39.2)</w:t>
            </w:r>
            <w:r w:rsidRPr="00590C27">
              <w:br/>
              <w:t>9.0</w:t>
            </w:r>
            <w:r>
              <w:t>–</w:t>
            </w:r>
            <w:r w:rsidRPr="00590C27">
              <w:t>10.0</w:t>
            </w:r>
            <w:r>
              <w:t> </w:t>
            </w:r>
            <w:r w:rsidRPr="00590C27">
              <w:t>µm size: 16.65 (3.12</w:t>
            </w:r>
            <w:r>
              <w:t>–</w:t>
            </w:r>
            <w:r w:rsidRPr="00590C27">
              <w:t>36.0)</w:t>
            </w:r>
            <w:r w:rsidRPr="00590C27">
              <w:br/>
              <w:t>Overall: 3.73 (ND</w:t>
            </w:r>
            <w:r>
              <w:t>–</w:t>
            </w:r>
            <w:r w:rsidRPr="00590C27">
              <w:t>39.2)</w:t>
            </w:r>
          </w:p>
        </w:tc>
        <w:tc>
          <w:tcPr>
            <w:tcW w:w="2250" w:type="dxa"/>
            <w:tcBorders>
              <w:top w:val="nil"/>
              <w:left w:val="nil"/>
              <w:bottom w:val="single" w:sz="4" w:space="0" w:color="auto"/>
              <w:right w:val="single" w:sz="4" w:space="0" w:color="auto"/>
            </w:tcBorders>
            <w:shd w:val="clear" w:color="auto" w:fill="auto"/>
            <w:hideMark/>
          </w:tcPr>
          <w:p w14:paraId="601F35C2" w14:textId="77777777" w:rsidR="002E5CD2" w:rsidRPr="00590C27" w:rsidRDefault="002E5CD2" w:rsidP="003B0252">
            <w:pPr>
              <w:pStyle w:val="ITRCTableText"/>
            </w:pPr>
            <w:r w:rsidRPr="00590C27">
              <w:t>LC-MS/MS</w:t>
            </w:r>
          </w:p>
        </w:tc>
        <w:tc>
          <w:tcPr>
            <w:tcW w:w="2520" w:type="dxa"/>
            <w:tcBorders>
              <w:top w:val="nil"/>
              <w:left w:val="nil"/>
              <w:bottom w:val="single" w:sz="4" w:space="0" w:color="auto"/>
              <w:right w:val="single" w:sz="4" w:space="0" w:color="auto"/>
            </w:tcBorders>
            <w:shd w:val="clear" w:color="auto" w:fill="auto"/>
            <w:hideMark/>
          </w:tcPr>
          <w:p w14:paraId="285E2A65" w14:textId="77777777" w:rsidR="002E5CD2" w:rsidRPr="00590C27" w:rsidRDefault="002E5CD2" w:rsidP="003B0252">
            <w:pPr>
              <w:pStyle w:val="ITRCTableText"/>
            </w:pPr>
            <w:r w:rsidRPr="00590C27">
              <w:t>LOD:</w:t>
            </w:r>
            <w:r>
              <w:t xml:space="preserve"> </w:t>
            </w:r>
            <w:r w:rsidRPr="00590C27">
              <w:t>0.03</w:t>
            </w:r>
            <w:r>
              <w:t> </w:t>
            </w:r>
            <w:r w:rsidRPr="00590C27">
              <w:t>ng/g</w:t>
            </w:r>
          </w:p>
        </w:tc>
      </w:tr>
      <w:tr w:rsidR="002E5CD2" w:rsidRPr="00590C27" w14:paraId="50C446A1" w14:textId="77777777" w:rsidTr="007E3B13">
        <w:trPr>
          <w:cantSplit/>
        </w:trPr>
        <w:tc>
          <w:tcPr>
            <w:tcW w:w="2874" w:type="dxa"/>
            <w:tcBorders>
              <w:top w:val="nil"/>
              <w:left w:val="single" w:sz="4" w:space="0" w:color="auto"/>
              <w:bottom w:val="single" w:sz="4" w:space="0" w:color="auto"/>
              <w:right w:val="single" w:sz="4" w:space="0" w:color="auto"/>
            </w:tcBorders>
            <w:shd w:val="clear" w:color="auto" w:fill="auto"/>
            <w:hideMark/>
          </w:tcPr>
          <w:p w14:paraId="1D87CBC9" w14:textId="250DA628" w:rsidR="002E5CD2" w:rsidRDefault="00000000" w:rsidP="003B0252">
            <w:pPr>
              <w:pStyle w:val="Source"/>
            </w:pPr>
            <w:hyperlink r:id="rId11" w:history="1">
              <w:r w:rsidR="002E5CD2" w:rsidRPr="00D147E5">
                <w:rPr>
                  <w:rStyle w:val="Hyperlink"/>
                </w:rPr>
                <w:t>Guangzhou, China</w:t>
              </w:r>
            </w:hyperlink>
            <w:r w:rsidR="002E5CD2" w:rsidRPr="00590C27">
              <w:t xml:space="preserve"> </w:t>
            </w:r>
          </w:p>
          <w:p w14:paraId="26EFCCBD" w14:textId="0FD7B775" w:rsidR="000E1BD3" w:rsidRPr="00590C27" w:rsidRDefault="00D147E5" w:rsidP="00D147E5">
            <w:r>
              <w:fldChar w:fldCharType="begin"/>
            </w:r>
            <w:r>
              <w:instrText xml:space="preserve"> ADDIN ZOTERO_ITEM CSL_CITATION {"citationID":"OYK34tzc","properties":{"formattedCitation":"(Huang et al. 2021)","plainCitation":"(Huang et al. 2021)","noteIndex":0},"citationItems":[{"id":1676,"uris":["http://zotero.org/groups/4889498/items/ZW5DHNRP"],"itemData":{"id":1676,"type":"article-journal","abstract":"The substituted p-phenylenediamines (PPDs) represent a suite of effective antioxidants broadly applied in rubber industries. However, knowledge of their environmental occurrences and fate remains extremely limited. Herein, we explored the occurrence of six major PPD antioxidants and one newly defined transformation product in dust particles from different environments, including roads, underground parking lots, vehicles, and houses. The majority of the PPDs exhibited ubiquitous occurrence in these environments. Median concentrations of total PPDs were determined to be 226 ng/g in road dust, 232 ng/g in parking lot dust, and 156 ng/g in vehicle dust, orders of magnitude greater than those in house dust (14.0 ng/g). Different composition profiles of PPDs were also found between house dust and vehicle-related dust, likely indicating the influence of vehicle tires or other rubber products. In addition, a major ozonation product of N-(1,3-dimethylbutyl)-N′-phenyl-1,4-phenylenediamine (6PPD), 6PPD-qunione, was also identified in dust with levels (median range of 32.2–80.9 ng/g) comparable to that of 6PPD except in house dust. To the best of our knowledge, this is the first systematic investigation of the occurrence of major PPD antioxidants and 6PPD-qunione in various dust matrices. Our findings would attract attention to their environmental fate and ecological and human health risks.","container-title":"Environmental Science &amp; Technology Letters","DOI":"10.1021/acs.estlett.1c00148","issue":"5","journalAbbreviation":"Environ. Sci. Technol. Lett.","note":"number: 5\npublisher: American Chemical Society","page":"381-385","source":"ACS Publications","title":"Occurrence of Substituted p-Phenylenediamine Antioxidants in Dusts","volume":"8","author":[{"family":"Huang","given":"Wei"},{"family":"Shi","given":"Yumeng"},{"family":"Huang","given":"Jialing"},{"family":"Deng","given":"Chengliang"},{"family":"Tang","given":"Shuqin"},{"family":"Liu","given":"Xiaotu"},{"family":"Chen","given":"Da"}],"issued":{"date-parts":[["2021",5,11]]}}}],"schema":"https://github.com/citation-style-language/schema/raw/master/csl-citation.json"} </w:instrText>
            </w:r>
            <w:r>
              <w:fldChar w:fldCharType="separate"/>
            </w:r>
            <w:r w:rsidRPr="00D147E5">
              <w:rPr>
                <w:sz w:val="20"/>
              </w:rPr>
              <w:t>(Huang et al. 2021)</w:t>
            </w:r>
            <w:r>
              <w:fldChar w:fldCharType="end"/>
            </w:r>
          </w:p>
        </w:tc>
        <w:tc>
          <w:tcPr>
            <w:tcW w:w="7533" w:type="dxa"/>
            <w:tcBorders>
              <w:top w:val="nil"/>
              <w:left w:val="nil"/>
              <w:bottom w:val="single" w:sz="4" w:space="0" w:color="auto"/>
              <w:right w:val="single" w:sz="4" w:space="0" w:color="auto"/>
            </w:tcBorders>
            <w:shd w:val="clear" w:color="auto" w:fill="auto"/>
            <w:hideMark/>
          </w:tcPr>
          <w:p w14:paraId="588E2E46" w14:textId="77777777" w:rsidR="002E5CD2" w:rsidRPr="00590C27" w:rsidRDefault="002E5CD2" w:rsidP="003B0252">
            <w:pPr>
              <w:pStyle w:val="ITRCTableText"/>
            </w:pPr>
            <w:r w:rsidRPr="00590C27">
              <w:t>In 2020, researchers collected 20 road</w:t>
            </w:r>
            <w:r>
              <w:t>-</w:t>
            </w:r>
            <w:r w:rsidRPr="00590C27">
              <w:t>dust samples, 10 parking</w:t>
            </w:r>
            <w:r>
              <w:t>-</w:t>
            </w:r>
            <w:r w:rsidRPr="00590C27">
              <w:t>lot samples, 11 vehicle</w:t>
            </w:r>
            <w:r>
              <w:t>-</w:t>
            </w:r>
            <w:r w:rsidRPr="00590C27">
              <w:t>dust samples, and 18 house</w:t>
            </w:r>
            <w:r>
              <w:t>-</w:t>
            </w:r>
            <w:r w:rsidRPr="00590C27">
              <w:t>dust samples in homes located in an e-waste dismantling area in South China. These samples were analyzed for a range of p-phenylenediamines, including 6PPD and 6PPD</w:t>
            </w:r>
            <w:r>
              <w:noBreakHyphen/>
              <w:t>q</w:t>
            </w:r>
            <w:r w:rsidRPr="00590C27">
              <w:t>. Both compounds were detected in 100% of the road</w:t>
            </w:r>
            <w:r>
              <w:t>-</w:t>
            </w:r>
            <w:r w:rsidRPr="00590C27">
              <w:t>dust, parking</w:t>
            </w:r>
            <w:r>
              <w:t>-</w:t>
            </w:r>
            <w:r w:rsidRPr="00590C27">
              <w:t>lot</w:t>
            </w:r>
            <w:r w:rsidRPr="005877BF">
              <w:t>–</w:t>
            </w:r>
            <w:r w:rsidRPr="00590C27">
              <w:t>dust, and vehicle</w:t>
            </w:r>
            <w:r>
              <w:t>-</w:t>
            </w:r>
            <w:r w:rsidRPr="00590C27">
              <w:t>dust samples. For house dust, 6PPD and 6PPD</w:t>
            </w:r>
            <w:r>
              <w:noBreakHyphen/>
              <w:t>q</w:t>
            </w:r>
            <w:r w:rsidRPr="00590C27">
              <w:t xml:space="preserve"> were detected in 56% </w:t>
            </w:r>
            <w:r>
              <w:t xml:space="preserve">and </w:t>
            </w:r>
            <w:r w:rsidRPr="00590C27">
              <w:t xml:space="preserve">33% of the samples, respectively. </w:t>
            </w:r>
          </w:p>
        </w:tc>
        <w:tc>
          <w:tcPr>
            <w:tcW w:w="6423" w:type="dxa"/>
            <w:tcBorders>
              <w:top w:val="nil"/>
              <w:left w:val="nil"/>
              <w:bottom w:val="single" w:sz="4" w:space="0" w:color="auto"/>
              <w:right w:val="single" w:sz="4" w:space="0" w:color="auto"/>
            </w:tcBorders>
            <w:shd w:val="clear" w:color="auto" w:fill="auto"/>
            <w:hideMark/>
          </w:tcPr>
          <w:p w14:paraId="6192156F" w14:textId="77777777" w:rsidR="002E5CD2" w:rsidRDefault="002E5CD2" w:rsidP="003B0252">
            <w:pPr>
              <w:pStyle w:val="ITRCTableText"/>
            </w:pPr>
            <w:r w:rsidRPr="00590C27">
              <w:t>The concentrations of 6PPD and 6PPD</w:t>
            </w:r>
            <w:r>
              <w:noBreakHyphen/>
              <w:t>q</w:t>
            </w:r>
            <w:r w:rsidRPr="00590C27">
              <w:t xml:space="preserve"> in vehicle and house dust were found to be [median (range)]:</w:t>
            </w:r>
          </w:p>
          <w:p w14:paraId="3C4D33A4" w14:textId="77777777" w:rsidR="002E5CD2" w:rsidRDefault="002E5CD2" w:rsidP="003B0252">
            <w:pPr>
              <w:pStyle w:val="ITRCTableText"/>
            </w:pPr>
            <w:r w:rsidRPr="00590C27">
              <w:t xml:space="preserve">6PPD: </w:t>
            </w:r>
            <w:r w:rsidRPr="00590C27">
              <w:br/>
              <w:t>Vehicle dust: 19.3 (5.0</w:t>
            </w:r>
            <w:r>
              <w:t>–</w:t>
            </w:r>
            <w:r w:rsidRPr="00590C27">
              <w:t xml:space="preserve">41.9) </w:t>
            </w:r>
            <w:r w:rsidRPr="00590C27">
              <w:br/>
              <w:t>House dust: 0.3 (&lt;LOQ</w:t>
            </w:r>
            <w:r>
              <w:t>–</w:t>
            </w:r>
            <w:r w:rsidRPr="00590C27">
              <w:t xml:space="preserve">6.1) </w:t>
            </w:r>
          </w:p>
          <w:p w14:paraId="78C2FF21" w14:textId="77777777" w:rsidR="002E5CD2" w:rsidRPr="00590C27" w:rsidRDefault="002E5CD2" w:rsidP="003B0252">
            <w:pPr>
              <w:pStyle w:val="ITRCTableText"/>
            </w:pPr>
            <w:r w:rsidRPr="00590C27">
              <w:t>6PPD</w:t>
            </w:r>
            <w:r>
              <w:noBreakHyphen/>
              <w:t>q</w:t>
            </w:r>
            <w:r w:rsidRPr="00590C27">
              <w:t xml:space="preserve">: </w:t>
            </w:r>
            <w:r w:rsidRPr="00590C27">
              <w:br/>
              <w:t>Vehicle dust: 80.9 (17.9</w:t>
            </w:r>
            <w:r>
              <w:t>–</w:t>
            </w:r>
            <w:r w:rsidRPr="00590C27">
              <w:t xml:space="preserve">146) </w:t>
            </w:r>
            <w:r w:rsidRPr="00590C27">
              <w:br/>
              <w:t>House dust: &lt;LOQ (&lt;LOQ</w:t>
            </w:r>
            <w:r>
              <w:t>–</w:t>
            </w:r>
            <w:r w:rsidRPr="00590C27">
              <w:t xml:space="preserve">0.4) </w:t>
            </w:r>
          </w:p>
        </w:tc>
        <w:tc>
          <w:tcPr>
            <w:tcW w:w="2250" w:type="dxa"/>
            <w:tcBorders>
              <w:top w:val="nil"/>
              <w:left w:val="nil"/>
              <w:bottom w:val="single" w:sz="4" w:space="0" w:color="auto"/>
              <w:right w:val="single" w:sz="4" w:space="0" w:color="auto"/>
            </w:tcBorders>
            <w:shd w:val="clear" w:color="auto" w:fill="auto"/>
            <w:hideMark/>
          </w:tcPr>
          <w:p w14:paraId="6BC28C0C" w14:textId="77777777" w:rsidR="002E5CD2" w:rsidRPr="00590C27" w:rsidRDefault="002E5CD2" w:rsidP="003B0252">
            <w:pPr>
              <w:pStyle w:val="ITRCTableText"/>
            </w:pPr>
            <w:r w:rsidRPr="00590C27">
              <w:t>HPLC-MS/MS</w:t>
            </w:r>
          </w:p>
        </w:tc>
        <w:tc>
          <w:tcPr>
            <w:tcW w:w="2520" w:type="dxa"/>
            <w:tcBorders>
              <w:top w:val="nil"/>
              <w:left w:val="nil"/>
              <w:bottom w:val="single" w:sz="4" w:space="0" w:color="auto"/>
              <w:right w:val="single" w:sz="4" w:space="0" w:color="auto"/>
            </w:tcBorders>
            <w:shd w:val="clear" w:color="auto" w:fill="auto"/>
            <w:hideMark/>
          </w:tcPr>
          <w:p w14:paraId="21839A54" w14:textId="5464C736" w:rsidR="002E5CD2" w:rsidRPr="00590C27" w:rsidRDefault="002E5CD2" w:rsidP="003B0252">
            <w:pPr>
              <w:pStyle w:val="ITRCTableText"/>
            </w:pPr>
            <w:r w:rsidRPr="00590C27">
              <w:t>LOD (ng/g):</w:t>
            </w:r>
            <w:r w:rsidRPr="00590C27">
              <w:br/>
              <w:t>6PPD: 0.11</w:t>
            </w:r>
            <w:r w:rsidRPr="00590C27">
              <w:br/>
              <w:t>6PPD</w:t>
            </w:r>
            <w:r>
              <w:noBreakHyphen/>
              <w:t>q</w:t>
            </w:r>
            <w:r w:rsidRPr="00590C27">
              <w:t xml:space="preserve">: Value not reported, but estimated </w:t>
            </w:r>
            <w:r w:rsidR="007E3B13" w:rsidRPr="00590C27">
              <w:t>based on</w:t>
            </w:r>
            <w:r w:rsidRPr="00590C27">
              <w:t xml:space="preserve"> the calibration curve </w:t>
            </w:r>
            <w:r w:rsidR="00811629">
              <w:t xml:space="preserve">and </w:t>
            </w:r>
            <w:r w:rsidR="00A46706">
              <w:t>LOD</w:t>
            </w:r>
            <w:r w:rsidRPr="00590C27">
              <w:t xml:space="preserve"> of 6PPD</w:t>
            </w:r>
          </w:p>
        </w:tc>
      </w:tr>
      <w:tr w:rsidR="002E5CD2" w:rsidRPr="00590C27" w14:paraId="583E71D3" w14:textId="77777777" w:rsidTr="007E3B13">
        <w:trPr>
          <w:cantSplit/>
        </w:trPr>
        <w:tc>
          <w:tcPr>
            <w:tcW w:w="2874" w:type="dxa"/>
            <w:tcBorders>
              <w:top w:val="nil"/>
              <w:left w:val="single" w:sz="4" w:space="0" w:color="auto"/>
              <w:bottom w:val="single" w:sz="4" w:space="0" w:color="auto"/>
              <w:right w:val="single" w:sz="4" w:space="0" w:color="auto"/>
            </w:tcBorders>
            <w:shd w:val="clear" w:color="auto" w:fill="auto"/>
            <w:hideMark/>
          </w:tcPr>
          <w:p w14:paraId="00187467" w14:textId="1288047B" w:rsidR="002E5CD2" w:rsidRDefault="00000000" w:rsidP="003B0252">
            <w:pPr>
              <w:pStyle w:val="Source"/>
            </w:pPr>
            <w:hyperlink r:id="rId12" w:history="1">
              <w:r w:rsidR="002E5CD2" w:rsidRPr="00590C27">
                <w:t>United States and Canada</w:t>
              </w:r>
            </w:hyperlink>
          </w:p>
          <w:p w14:paraId="14D67E95" w14:textId="40C41CDD" w:rsidR="003F52A3" w:rsidRPr="00590C27" w:rsidRDefault="003F52A3" w:rsidP="004828BC">
            <w:r>
              <w:fldChar w:fldCharType="begin"/>
            </w:r>
            <w:r>
              <w:instrText xml:space="preserve"> ADDIN ZOTERO_ITEM CSL_CITATION {"citationID":"1JJ10uxF","properties":{"formattedCitation":"(Wu, Venier, and Hites 2020)","plainCitation":"(Wu, Venier, and Hites 2020)","noteIndex":0},"citationItems":[{"id":2292,"uris":["http://zotero.org/groups/4889498/items/JQG4QM4N"],"itemData":{"id":2292,"type":"article-journal","container-title":"Environmental Science &amp; Technology","DOI":"10.1021/acs.est.0c04114","ISSN":"0013-936X, 1520-5851","issue":"15","journalAbbreviation":"Environ. Sci. Technol.","language":"en","license":"https://doi.org/10.15223/policy-029","page":"9345-9355","source":"DOI.org (Crossref)","title":"Broad Exposure of the North American Environment to Phenolic and Amino Antioxidants and to Ultraviolet Filters","volume":"54","author":[{"family":"Wu","given":"Yan"},{"family":"Venier","given":"Marta"},{"family":"Hites","given":"Ronald A."}],"issued":{"date-parts":[["2020",8,4]]}}}],"schema":"https://github.com/citation-style-language/schema/raw/master/csl-citation.json"} </w:instrText>
            </w:r>
            <w:r>
              <w:fldChar w:fldCharType="separate"/>
            </w:r>
            <w:r w:rsidRPr="003F52A3">
              <w:rPr>
                <w:sz w:val="20"/>
              </w:rPr>
              <w:t>(Wu, Venier, and Hites 2020)</w:t>
            </w:r>
            <w:r>
              <w:fldChar w:fldCharType="end"/>
            </w:r>
          </w:p>
        </w:tc>
        <w:tc>
          <w:tcPr>
            <w:tcW w:w="7533" w:type="dxa"/>
            <w:tcBorders>
              <w:top w:val="nil"/>
              <w:left w:val="nil"/>
              <w:bottom w:val="single" w:sz="4" w:space="0" w:color="auto"/>
              <w:right w:val="single" w:sz="4" w:space="0" w:color="auto"/>
            </w:tcBorders>
            <w:shd w:val="clear" w:color="auto" w:fill="auto"/>
            <w:hideMark/>
          </w:tcPr>
          <w:p w14:paraId="03C2E9C8" w14:textId="77777777" w:rsidR="002E5CD2" w:rsidRPr="00590C27" w:rsidRDefault="002E5CD2" w:rsidP="003B0252">
            <w:pPr>
              <w:pStyle w:val="ITRCTableText"/>
            </w:pPr>
            <w:r w:rsidRPr="00590C27">
              <w:t>In 2016, researchers collected 21 e-waste dust samples in an e-waste dismantling facility located in Ontario, Canada. Residential samples were collected in Ontario, Canada in 2015 (n</w:t>
            </w:r>
            <w:r>
              <w:t>=</w:t>
            </w:r>
            <w:r w:rsidRPr="00590C27">
              <w:t>20) and in Indiana, United States</w:t>
            </w:r>
            <w:r>
              <w:t>,</w:t>
            </w:r>
            <w:r w:rsidRPr="00590C27">
              <w:t xml:space="preserve"> in 2013 (n</w:t>
            </w:r>
            <w:r>
              <w:t>=</w:t>
            </w:r>
            <w:r w:rsidRPr="00590C27">
              <w:t>12). In 2013, 10 sediment samples were collected in the Chicago Sanitary and Ship Canal. From 2018 to 2019, 20 air samples were collected in Chicago. Samples were tested for various antioxidants and ultraviolet filters, including 6PPD. 6PPD was detected in 100% of the e-waste dust samples, and in 70</w:t>
            </w:r>
            <w:r>
              <w:t>%–</w:t>
            </w:r>
            <w:r w:rsidRPr="00590C27">
              <w:t>75% of all other sampled media.</w:t>
            </w:r>
          </w:p>
        </w:tc>
        <w:tc>
          <w:tcPr>
            <w:tcW w:w="6423" w:type="dxa"/>
            <w:tcBorders>
              <w:top w:val="nil"/>
              <w:left w:val="nil"/>
              <w:bottom w:val="single" w:sz="4" w:space="0" w:color="auto"/>
              <w:right w:val="single" w:sz="4" w:space="0" w:color="auto"/>
            </w:tcBorders>
            <w:shd w:val="clear" w:color="auto" w:fill="auto"/>
            <w:hideMark/>
          </w:tcPr>
          <w:p w14:paraId="678F545A" w14:textId="77777777" w:rsidR="002E5CD2" w:rsidRDefault="002E5CD2" w:rsidP="003B0252">
            <w:pPr>
              <w:pStyle w:val="ITRCTableText"/>
            </w:pPr>
            <w:r w:rsidRPr="00590C27">
              <w:t>The concentrations of 6PPD were found to be [median (range)]:</w:t>
            </w:r>
          </w:p>
          <w:p w14:paraId="00A3F177" w14:textId="77777777" w:rsidR="002E5CD2" w:rsidRPr="00590C27" w:rsidRDefault="002E5CD2" w:rsidP="003B0252">
            <w:pPr>
              <w:pStyle w:val="ITRCTableText"/>
            </w:pPr>
            <w:r w:rsidRPr="00590C27">
              <w:t>E-waste dust: 15.4 (7.31</w:t>
            </w:r>
            <w:r>
              <w:t>–</w:t>
            </w:r>
            <w:r w:rsidRPr="00590C27">
              <w:t xml:space="preserve">37.7) </w:t>
            </w:r>
            <w:r w:rsidRPr="00590C27">
              <w:br/>
              <w:t>House dust (Canada): 0.083 (&lt;MDL</w:t>
            </w:r>
            <w:r>
              <w:t>–</w:t>
            </w:r>
            <w:r w:rsidRPr="00590C27">
              <w:t xml:space="preserve">6.65) </w:t>
            </w:r>
            <w:r w:rsidRPr="00590C27">
              <w:br/>
              <w:t>House dust (United States): 1.84 (&lt;MDL</w:t>
            </w:r>
            <w:r>
              <w:t>–</w:t>
            </w:r>
            <w:r w:rsidRPr="00590C27">
              <w:t xml:space="preserve">23.7) </w:t>
            </w:r>
          </w:p>
        </w:tc>
        <w:tc>
          <w:tcPr>
            <w:tcW w:w="2250" w:type="dxa"/>
            <w:tcBorders>
              <w:top w:val="nil"/>
              <w:left w:val="nil"/>
              <w:bottom w:val="single" w:sz="4" w:space="0" w:color="auto"/>
              <w:right w:val="single" w:sz="4" w:space="0" w:color="auto"/>
            </w:tcBorders>
            <w:shd w:val="clear" w:color="auto" w:fill="auto"/>
            <w:noWrap/>
            <w:hideMark/>
          </w:tcPr>
          <w:p w14:paraId="2C7323DF" w14:textId="77777777" w:rsidR="002E5CD2" w:rsidRPr="00590C27" w:rsidRDefault="002E5CD2" w:rsidP="003B0252">
            <w:pPr>
              <w:pStyle w:val="ITRCTableText"/>
            </w:pPr>
            <w:r w:rsidRPr="00590C27">
              <w:t>LC-MS/MS</w:t>
            </w:r>
          </w:p>
        </w:tc>
        <w:tc>
          <w:tcPr>
            <w:tcW w:w="2520" w:type="dxa"/>
            <w:tcBorders>
              <w:top w:val="nil"/>
              <w:left w:val="nil"/>
              <w:bottom w:val="single" w:sz="4" w:space="0" w:color="auto"/>
              <w:right w:val="single" w:sz="4" w:space="0" w:color="auto"/>
            </w:tcBorders>
            <w:shd w:val="clear" w:color="auto" w:fill="auto"/>
            <w:hideMark/>
          </w:tcPr>
          <w:p w14:paraId="5833D9FC" w14:textId="77777777" w:rsidR="002E5CD2" w:rsidRPr="00590C27" w:rsidRDefault="002E5CD2" w:rsidP="003B0252">
            <w:pPr>
              <w:pStyle w:val="ITRCTableText"/>
            </w:pPr>
            <w:r w:rsidRPr="00590C27">
              <w:t>MDL:</w:t>
            </w:r>
            <w:r w:rsidRPr="00590C27">
              <w:br/>
              <w:t xml:space="preserve">Air: 0.02 </w:t>
            </w:r>
            <w:proofErr w:type="spellStart"/>
            <w:r w:rsidRPr="00590C27">
              <w:t>pg</w:t>
            </w:r>
            <w:proofErr w:type="spellEnd"/>
            <w:r w:rsidRPr="00590C27">
              <w:t>/m</w:t>
            </w:r>
            <w:r w:rsidRPr="00590C27">
              <w:rPr>
                <w:vertAlign w:val="superscript"/>
              </w:rPr>
              <w:t>3</w:t>
            </w:r>
            <w:r w:rsidRPr="00590C27">
              <w:br/>
              <w:t>Dust and sediment: 0.06</w:t>
            </w:r>
            <w:r>
              <w:t> ng</w:t>
            </w:r>
            <w:r w:rsidRPr="00590C27">
              <w:t>/g</w:t>
            </w:r>
          </w:p>
        </w:tc>
      </w:tr>
      <w:tr w:rsidR="002E5CD2" w:rsidRPr="00590C27" w14:paraId="0B64EDA7" w14:textId="77777777" w:rsidTr="007E3B13">
        <w:trPr>
          <w:cantSplit/>
        </w:trPr>
        <w:tc>
          <w:tcPr>
            <w:tcW w:w="2874" w:type="dxa"/>
            <w:tcBorders>
              <w:top w:val="nil"/>
              <w:left w:val="single" w:sz="4" w:space="0" w:color="auto"/>
              <w:bottom w:val="single" w:sz="4" w:space="0" w:color="auto"/>
              <w:right w:val="single" w:sz="4" w:space="0" w:color="auto"/>
            </w:tcBorders>
            <w:shd w:val="clear" w:color="auto" w:fill="auto"/>
            <w:hideMark/>
          </w:tcPr>
          <w:p w14:paraId="0528E8B1" w14:textId="087B3E7F" w:rsidR="002E5CD2" w:rsidRDefault="00000000" w:rsidP="003B0252">
            <w:pPr>
              <w:pStyle w:val="Source"/>
              <w:rPr>
                <w:lang w:val="nl-NL"/>
              </w:rPr>
            </w:pPr>
            <w:hyperlink r:id="rId13" w:history="1">
              <w:r w:rsidR="002E5CD2" w:rsidRPr="009B2891">
                <w:rPr>
                  <w:lang w:val="nl-NL"/>
                </w:rPr>
                <w:t>Hangzhou, China</w:t>
              </w:r>
            </w:hyperlink>
          </w:p>
          <w:p w14:paraId="6EA18291" w14:textId="481056EC" w:rsidR="004828BC" w:rsidRPr="009B2891" w:rsidRDefault="004828BC" w:rsidP="00CE7CD8">
            <w:pPr>
              <w:rPr>
                <w:lang w:val="nl-NL"/>
              </w:rPr>
            </w:pPr>
            <w:r>
              <w:rPr>
                <w:lang w:val="nl-NL"/>
              </w:rPr>
              <w:fldChar w:fldCharType="begin"/>
            </w:r>
            <w:r>
              <w:rPr>
                <w:lang w:val="nl-NL"/>
              </w:rPr>
              <w:instrText xml:space="preserve"> ADDIN ZOTERO_ITEM CSL_CITATION {"citationID":"vWOf4n0e","properties":{"formattedCitation":"(Zhu et al. 2024)","plainCitation":"(Zhu et al. 2024)","noteIndex":0},"citationItems":[{"id":1840,"uris":["http://zotero.org/groups/4911552/items/WEPL88BC"],"itemData":{"id":1840,"type":"article-journal","abstract":"The p-phenylenediamine antioxidants (PPDs) have been widely detected in various dust samples. Nevertheless, the knowledge on occurrence of their environmental transformation products, PPD-derived quinones (PPDQs), in indoor dust remains limited. In this study, indoor dust samples (n = 97) were collected from Hangzhou, China, and analyzed for PPDs and PPDQs. Results showed that nine PPDs were detected in indoor dust samples, with the total concentrations of 1.7–223 ng/g. N-(1,3-dimethylbutyl)-N′-phenyl-p-phenylenediamine (6PPD, mean 17 ng/ g) was the predominant PPDs in indoor dust, followed by N, N′-di(o-tolyl)-p-phenylenediamine (DTPD, 8.6 ng/g) and N-(1,3-dimethylbutyl)-N′-(p-tolyl)-p-phenylenediamine (DMTPD, 4.7 ng/g). Five PPDQs were detected in indoor dust samples. Among detected PPDQs, 6PPDQ (14 ng/g, 0.33–82 ng/g) had the highest mean concen­ tration, followed by DTPDQ (5.9 ng/g, &lt; LOD–31 ng/g) and DPPDQ (2.2 ng/g, &lt; LOD–11 ng/g). We also estimated the daily intake (DI) of PPDs and PPDQs through indoor dust ingestion. Infants had higher mean DIs of PPDs and PPDQs than children and adults. Notably, to our knowledge, this study first reports the occurrence of three novel PPDs and four novel PPDQs in indoor dust samples. More studies are needed to reveal the potential human health risks of exposure to these newly identified chemicals.","container-title":"Science of the Total Environment","DOI":"10.1016/j.scitotenv.2023.169325","ISSN":"00489697","journalAbbreviation":"Science of the Total Environment","language":"en","page":"169325","source":"DOI.org (Crossref)","title":"Occurrence of &lt;i&gt;p&lt;/i&gt;-phenylenediamine antioxidants (PPDs) and PPDs-derived quinones in indoor dust","volume":"912","author":[{"family":"Zhu","given":"Jianqiang"},{"family":"Guo","given":"Ruyue"},{"family":"Jiang","given":"Shengtao"},{"family":"Wu","given":"Pengfei"},{"family":"Jin","given":"Hangbiao"}],"issued":{"date-parts":[["2024",2]]}}}],"schema":"https://github.com/citation-style-language/schema/raw/master/csl-citation.json"} </w:instrText>
            </w:r>
            <w:r>
              <w:rPr>
                <w:lang w:val="nl-NL"/>
              </w:rPr>
              <w:fldChar w:fldCharType="separate"/>
            </w:r>
            <w:r w:rsidRPr="004828BC">
              <w:rPr>
                <w:sz w:val="20"/>
              </w:rPr>
              <w:t>(Zhu et al. 2024)</w:t>
            </w:r>
            <w:r>
              <w:rPr>
                <w:lang w:val="nl-NL"/>
              </w:rPr>
              <w:fldChar w:fldCharType="end"/>
            </w:r>
          </w:p>
        </w:tc>
        <w:tc>
          <w:tcPr>
            <w:tcW w:w="7533" w:type="dxa"/>
            <w:tcBorders>
              <w:top w:val="nil"/>
              <w:left w:val="nil"/>
              <w:bottom w:val="single" w:sz="4" w:space="0" w:color="auto"/>
              <w:right w:val="single" w:sz="4" w:space="0" w:color="auto"/>
            </w:tcBorders>
            <w:shd w:val="clear" w:color="auto" w:fill="auto"/>
            <w:hideMark/>
          </w:tcPr>
          <w:p w14:paraId="451AE97D" w14:textId="42DA03B7" w:rsidR="002E5CD2" w:rsidRPr="00590C27" w:rsidRDefault="002E5CD2" w:rsidP="003B0252">
            <w:pPr>
              <w:pStyle w:val="ITRCTableText"/>
            </w:pPr>
            <w:r w:rsidRPr="00590C27">
              <w:t>During July</w:t>
            </w:r>
            <w:r>
              <w:t xml:space="preserve"> and </w:t>
            </w:r>
            <w:r w:rsidRPr="00590C27">
              <w:t>August 2022, indoor dust samples were collected from residential apartments (n</w:t>
            </w:r>
            <w:r>
              <w:t>=</w:t>
            </w:r>
            <w:r w:rsidRPr="00590C27">
              <w:t>97) in Hangzhou, China, and analyzed for various PPD and PPD</w:t>
            </w:r>
            <w:r w:rsidR="00EA31F1">
              <w:t>-q</w:t>
            </w:r>
            <w:r w:rsidRPr="00590C27">
              <w:t>. 6PPD and 6PPDQ were detected in 100% of the indoor dust samples collected.</w:t>
            </w:r>
          </w:p>
        </w:tc>
        <w:tc>
          <w:tcPr>
            <w:tcW w:w="6423" w:type="dxa"/>
            <w:tcBorders>
              <w:top w:val="nil"/>
              <w:left w:val="nil"/>
              <w:bottom w:val="single" w:sz="4" w:space="0" w:color="auto"/>
              <w:right w:val="single" w:sz="4" w:space="0" w:color="auto"/>
            </w:tcBorders>
            <w:shd w:val="clear" w:color="auto" w:fill="auto"/>
            <w:hideMark/>
          </w:tcPr>
          <w:p w14:paraId="347C4125" w14:textId="77777777" w:rsidR="002E5CD2" w:rsidRDefault="002E5CD2" w:rsidP="003B0252">
            <w:pPr>
              <w:pStyle w:val="ITRCTableText"/>
            </w:pPr>
            <w:r w:rsidRPr="00590C27">
              <w:t>The concentrations of 6PPD and 6PPD</w:t>
            </w:r>
            <w:r>
              <w:noBreakHyphen/>
              <w:t>q</w:t>
            </w:r>
            <w:r w:rsidRPr="00590C27">
              <w:t xml:space="preserve"> in indoor dust were found to be [median (range)]:</w:t>
            </w:r>
          </w:p>
          <w:p w14:paraId="1DDBEF07" w14:textId="77777777" w:rsidR="002E5CD2" w:rsidRDefault="002E5CD2" w:rsidP="003B0252">
            <w:pPr>
              <w:pStyle w:val="ITRCTableText"/>
            </w:pPr>
            <w:r w:rsidRPr="00590C27">
              <w:t>6PPD: 10 (0.48</w:t>
            </w:r>
            <w:r>
              <w:t>–</w:t>
            </w:r>
            <w:r w:rsidRPr="00590C27">
              <w:t xml:space="preserve">135) </w:t>
            </w:r>
          </w:p>
          <w:p w14:paraId="196D9711" w14:textId="77777777" w:rsidR="002E5CD2" w:rsidRPr="00590C27" w:rsidRDefault="002E5CD2" w:rsidP="003B0252">
            <w:pPr>
              <w:pStyle w:val="ITRCTableText"/>
            </w:pPr>
            <w:r w:rsidRPr="00590C27">
              <w:t>6PPD</w:t>
            </w:r>
            <w:r>
              <w:noBreakHyphen/>
              <w:t>q</w:t>
            </w:r>
            <w:r w:rsidRPr="00590C27">
              <w:t>:</w:t>
            </w:r>
            <w:r>
              <w:t xml:space="preserve"> </w:t>
            </w:r>
            <w:r w:rsidRPr="00590C27">
              <w:t>9.5 (0.33</w:t>
            </w:r>
            <w:r>
              <w:t>–</w:t>
            </w:r>
            <w:r w:rsidRPr="00590C27">
              <w:t xml:space="preserve">82) </w:t>
            </w:r>
          </w:p>
        </w:tc>
        <w:tc>
          <w:tcPr>
            <w:tcW w:w="2250" w:type="dxa"/>
            <w:tcBorders>
              <w:top w:val="nil"/>
              <w:left w:val="nil"/>
              <w:bottom w:val="single" w:sz="4" w:space="0" w:color="auto"/>
              <w:right w:val="single" w:sz="4" w:space="0" w:color="auto"/>
            </w:tcBorders>
            <w:shd w:val="clear" w:color="auto" w:fill="auto"/>
            <w:noWrap/>
            <w:hideMark/>
          </w:tcPr>
          <w:p w14:paraId="1C493182" w14:textId="77777777" w:rsidR="002E5CD2" w:rsidRPr="00590C27" w:rsidRDefault="002E5CD2" w:rsidP="003B0252">
            <w:pPr>
              <w:pStyle w:val="ITRCTableText"/>
            </w:pPr>
            <w:r w:rsidRPr="00590C27">
              <w:t>HPLC-MS/MS</w:t>
            </w:r>
          </w:p>
        </w:tc>
        <w:tc>
          <w:tcPr>
            <w:tcW w:w="2520" w:type="dxa"/>
            <w:tcBorders>
              <w:top w:val="single" w:sz="4" w:space="0" w:color="auto"/>
              <w:left w:val="nil"/>
              <w:bottom w:val="single" w:sz="4" w:space="0" w:color="auto"/>
              <w:right w:val="single" w:sz="4" w:space="0" w:color="auto"/>
            </w:tcBorders>
            <w:shd w:val="clear" w:color="auto" w:fill="auto"/>
            <w:hideMark/>
          </w:tcPr>
          <w:p w14:paraId="3EFD02E5" w14:textId="77777777" w:rsidR="002E5CD2" w:rsidRPr="00590C27" w:rsidRDefault="002E5CD2" w:rsidP="003B0252">
            <w:pPr>
              <w:pStyle w:val="ITRCTableText"/>
            </w:pPr>
            <w:r w:rsidRPr="00590C27">
              <w:t xml:space="preserve">LOD: </w:t>
            </w:r>
            <w:r>
              <w:br/>
            </w:r>
            <w:r w:rsidRPr="00590C27">
              <w:t>PPDs</w:t>
            </w:r>
            <w:r>
              <w:t>:</w:t>
            </w:r>
            <w:r w:rsidRPr="00590C27">
              <w:t xml:space="preserve"> 0.051–0.39</w:t>
            </w:r>
            <w:r>
              <w:t> ng</w:t>
            </w:r>
            <w:r w:rsidRPr="00590C27">
              <w:t xml:space="preserve">/g </w:t>
            </w:r>
            <w:r>
              <w:br/>
            </w:r>
            <w:r w:rsidRPr="00590C27">
              <w:t>PPDQs</w:t>
            </w:r>
            <w:r>
              <w:t>:</w:t>
            </w:r>
            <w:r w:rsidRPr="00590C27">
              <w:t xml:space="preserve"> 0.081–0.27</w:t>
            </w:r>
            <w:r>
              <w:t> ng</w:t>
            </w:r>
            <w:r w:rsidRPr="00590C27">
              <w:t>/g</w:t>
            </w:r>
          </w:p>
        </w:tc>
      </w:tr>
      <w:tr w:rsidR="002E5CD2" w:rsidRPr="00590C27" w14:paraId="3BC00A2A" w14:textId="77777777" w:rsidTr="007E3B13">
        <w:trPr>
          <w:cantSplit/>
        </w:trPr>
        <w:tc>
          <w:tcPr>
            <w:tcW w:w="2874" w:type="dxa"/>
            <w:tcBorders>
              <w:top w:val="nil"/>
              <w:left w:val="single" w:sz="4" w:space="0" w:color="auto"/>
              <w:bottom w:val="single" w:sz="4" w:space="0" w:color="auto"/>
              <w:right w:val="single" w:sz="4" w:space="0" w:color="auto"/>
            </w:tcBorders>
            <w:shd w:val="clear" w:color="auto" w:fill="auto"/>
            <w:hideMark/>
          </w:tcPr>
          <w:p w14:paraId="7754BCEB" w14:textId="4675B1AD" w:rsidR="002E5CD2" w:rsidRDefault="00000000" w:rsidP="003B0252">
            <w:pPr>
              <w:pStyle w:val="Source"/>
            </w:pPr>
            <w:hyperlink r:id="rId14" w:anchor=":~:text=A%20higher%20daily%20intake%20of,associated%20health%20risks%20to%20children." w:history="1">
              <w:r w:rsidR="002E5CD2" w:rsidRPr="00590C27">
                <w:t xml:space="preserve">Guiyu Town and </w:t>
              </w:r>
              <w:proofErr w:type="spellStart"/>
              <w:r w:rsidR="002E5CD2" w:rsidRPr="00590C27">
                <w:t>Haojiang</w:t>
              </w:r>
              <w:proofErr w:type="spellEnd"/>
              <w:r w:rsidR="002E5CD2" w:rsidRPr="00590C27">
                <w:t>, China</w:t>
              </w:r>
            </w:hyperlink>
          </w:p>
          <w:p w14:paraId="39FDC6B5" w14:textId="5B992347" w:rsidR="00CE7CD8" w:rsidRPr="00590C27" w:rsidRDefault="00CE7CD8" w:rsidP="00915664">
            <w:r>
              <w:fldChar w:fldCharType="begin"/>
            </w:r>
            <w:r>
              <w:instrText xml:space="preserve"> ADDIN ZOTERO_ITEM CSL_CITATION {"citationID":"bt7a9vHZ","properties":{"formattedCitation":"(Z. Zhang et al. 2024)","plainCitation":"(Z. Zhang et al. 2024)","noteIndex":0},"citationItems":[{"id":2569,"uris":["http://zotero.org/groups/4911552/items/ZQPREK6H"],"itemData":{"id":2569,"type":"article-journal","container-title":"Environmental Research","DOI":"10.1016/j.envres.2024.118201","ISSN":"00139351","journalAbbreviation":"Environmental Research","language":"en","page":"118201","source":"DOI.org (Crossref)","title":"Association between 6PPD-quinone exposure and BMI, influenza, and diarrhea in children","volume":"247","author":[{"family":"Zhang","given":"Zhuxia"},{"family":"Xu","given":"Xijin"},{"family":"Qian","given":"Ziyi"},{"family":"Zhong","given":"Qi"},{"family":"Wang","given":"Qihua"},{"family":"Hylkema","given":"Machteld N."},{"family":"Snieder","given":"Harold"},{"family":"Huo","given":"Xia"}],"issued":{"date-parts":[["2024",4]]}}}],"schema":"https://github.com/citation-style-language/schema/raw/master/csl-citation.json"} </w:instrText>
            </w:r>
            <w:r>
              <w:fldChar w:fldCharType="separate"/>
            </w:r>
            <w:r w:rsidRPr="00CE7CD8">
              <w:rPr>
                <w:sz w:val="20"/>
              </w:rPr>
              <w:t>(Z. Zhang et al. 2024)</w:t>
            </w:r>
            <w:r>
              <w:fldChar w:fldCharType="end"/>
            </w:r>
          </w:p>
        </w:tc>
        <w:tc>
          <w:tcPr>
            <w:tcW w:w="7533" w:type="dxa"/>
            <w:tcBorders>
              <w:top w:val="nil"/>
              <w:left w:val="nil"/>
              <w:bottom w:val="single" w:sz="4" w:space="0" w:color="auto"/>
              <w:right w:val="single" w:sz="4" w:space="0" w:color="auto"/>
            </w:tcBorders>
            <w:shd w:val="clear" w:color="auto" w:fill="auto"/>
            <w:hideMark/>
          </w:tcPr>
          <w:p w14:paraId="57BCD995" w14:textId="77777777" w:rsidR="002E5CD2" w:rsidRPr="00590C27" w:rsidRDefault="002E5CD2" w:rsidP="003B0252">
            <w:pPr>
              <w:pStyle w:val="ITRCTableText"/>
            </w:pPr>
            <w:r w:rsidRPr="00590C27">
              <w:t xml:space="preserve">From 2019 to 2021, researchers collected 91 house indoor dust and 52 kindergarten indoor dust samples from Guiyu Town and </w:t>
            </w:r>
            <w:proofErr w:type="spellStart"/>
            <w:r w:rsidRPr="00590C27">
              <w:t>Haojiang</w:t>
            </w:r>
            <w:proofErr w:type="spellEnd"/>
            <w:r w:rsidRPr="00590C27">
              <w:t xml:space="preserve"> municipalities in China. Samples were collected with brushes treated with n-hexane and sealed in aluminum foil and analyzed for 6PPD</w:t>
            </w:r>
            <w:r>
              <w:noBreakHyphen/>
              <w:t>q</w:t>
            </w:r>
            <w:r w:rsidRPr="00590C27">
              <w:t>. 6PPD was not analyzed for.</w:t>
            </w:r>
          </w:p>
        </w:tc>
        <w:tc>
          <w:tcPr>
            <w:tcW w:w="6423" w:type="dxa"/>
            <w:tcBorders>
              <w:top w:val="nil"/>
              <w:left w:val="nil"/>
              <w:bottom w:val="single" w:sz="4" w:space="0" w:color="auto"/>
              <w:right w:val="single" w:sz="4" w:space="0" w:color="auto"/>
            </w:tcBorders>
            <w:shd w:val="clear" w:color="auto" w:fill="auto"/>
            <w:hideMark/>
          </w:tcPr>
          <w:p w14:paraId="02F3FC14" w14:textId="77777777" w:rsidR="002E5CD2" w:rsidRDefault="002E5CD2" w:rsidP="003B0252">
            <w:pPr>
              <w:pStyle w:val="ITRCTableText"/>
            </w:pPr>
            <w:r w:rsidRPr="00590C27">
              <w:t>The concentrations of 6PPD</w:t>
            </w:r>
            <w:r>
              <w:noBreakHyphen/>
              <w:t>q</w:t>
            </w:r>
            <w:r w:rsidRPr="00590C27">
              <w:t xml:space="preserve"> in house dust and kindergarten dust in Guiyu Town were found to be [median]:</w:t>
            </w:r>
          </w:p>
          <w:p w14:paraId="651A41A9" w14:textId="77777777" w:rsidR="002E5CD2" w:rsidRPr="009B2891" w:rsidRDefault="002E5CD2" w:rsidP="003B0252">
            <w:pPr>
              <w:pStyle w:val="ITRCTableText"/>
              <w:rPr>
                <w:lang w:val="nl-NL"/>
              </w:rPr>
            </w:pPr>
            <w:r w:rsidRPr="009B2891">
              <w:rPr>
                <w:lang w:val="nl-NL"/>
              </w:rPr>
              <w:br w:type="page"/>
            </w:r>
            <w:r w:rsidRPr="009B2891">
              <w:rPr>
                <w:lang w:val="nl-NL"/>
              </w:rPr>
              <w:br w:type="page"/>
              <w:t>House dust: 3.2 ng/g</w:t>
            </w:r>
            <w:r w:rsidRPr="009B2891">
              <w:rPr>
                <w:lang w:val="nl-NL"/>
              </w:rPr>
              <w:br w:type="page"/>
            </w:r>
          </w:p>
          <w:p w14:paraId="3B55EBA8" w14:textId="77777777" w:rsidR="002E5CD2" w:rsidRPr="009B2891" w:rsidRDefault="002E5CD2" w:rsidP="003B0252">
            <w:pPr>
              <w:pStyle w:val="ITRCTableText"/>
              <w:rPr>
                <w:lang w:val="nl-NL"/>
              </w:rPr>
            </w:pPr>
            <w:r w:rsidRPr="009B2891">
              <w:rPr>
                <w:lang w:val="nl-NL"/>
              </w:rPr>
              <w:t>Kindergarten dust: 7.5 ng/g</w:t>
            </w:r>
          </w:p>
          <w:p w14:paraId="6A3E4ECA" w14:textId="77777777" w:rsidR="002E5CD2" w:rsidRDefault="002E5CD2" w:rsidP="003B0252">
            <w:pPr>
              <w:pStyle w:val="ITRCTableText"/>
            </w:pPr>
            <w:r w:rsidRPr="00590C27">
              <w:br w:type="page"/>
            </w:r>
            <w:r w:rsidRPr="00590C27">
              <w:br w:type="page"/>
              <w:t>The concentrations of 6PPD</w:t>
            </w:r>
            <w:r>
              <w:noBreakHyphen/>
              <w:t>q</w:t>
            </w:r>
            <w:r w:rsidRPr="00590C27">
              <w:t xml:space="preserve"> in house dust and kindergarten dust in </w:t>
            </w:r>
            <w:proofErr w:type="spellStart"/>
            <w:r w:rsidRPr="00590C27">
              <w:t>Haojiang</w:t>
            </w:r>
            <w:proofErr w:type="spellEnd"/>
            <w:r w:rsidRPr="00590C27">
              <w:t xml:space="preserve"> were found to be [median]:</w:t>
            </w:r>
            <w:r w:rsidRPr="00590C27">
              <w:br w:type="page"/>
            </w:r>
            <w:r w:rsidRPr="00590C27">
              <w:br w:type="page"/>
            </w:r>
          </w:p>
          <w:p w14:paraId="73619583" w14:textId="77777777" w:rsidR="002E5CD2" w:rsidRPr="009B2891" w:rsidRDefault="002E5CD2" w:rsidP="003B0252">
            <w:pPr>
              <w:pStyle w:val="ITRCTableText"/>
              <w:rPr>
                <w:lang w:val="nl-NL"/>
              </w:rPr>
            </w:pPr>
            <w:r w:rsidRPr="009B2891">
              <w:rPr>
                <w:lang w:val="nl-NL"/>
              </w:rPr>
              <w:t>House dust: 1.4 ng/g</w:t>
            </w:r>
          </w:p>
          <w:p w14:paraId="01B1C5A5" w14:textId="77777777" w:rsidR="002E5CD2" w:rsidRPr="009B2891" w:rsidRDefault="002E5CD2" w:rsidP="003B0252">
            <w:pPr>
              <w:pStyle w:val="ITRCTableText"/>
              <w:rPr>
                <w:lang w:val="nl-NL"/>
              </w:rPr>
            </w:pPr>
            <w:r w:rsidRPr="009B2891">
              <w:rPr>
                <w:lang w:val="nl-NL"/>
              </w:rPr>
              <w:br w:type="page"/>
              <w:t>Kindergarten dust: 1.3 ng/g</w:t>
            </w:r>
          </w:p>
        </w:tc>
        <w:tc>
          <w:tcPr>
            <w:tcW w:w="2250" w:type="dxa"/>
            <w:tcBorders>
              <w:top w:val="nil"/>
              <w:left w:val="nil"/>
              <w:bottom w:val="single" w:sz="4" w:space="0" w:color="auto"/>
              <w:right w:val="single" w:sz="4" w:space="0" w:color="auto"/>
            </w:tcBorders>
            <w:shd w:val="clear" w:color="auto" w:fill="auto"/>
            <w:noWrap/>
            <w:hideMark/>
          </w:tcPr>
          <w:p w14:paraId="1BF7F295" w14:textId="77777777" w:rsidR="002E5CD2" w:rsidRPr="00590C27" w:rsidRDefault="002E5CD2" w:rsidP="003B0252">
            <w:pPr>
              <w:pStyle w:val="ITRCTableText"/>
            </w:pPr>
            <w:r w:rsidRPr="00590C27">
              <w:t>HPLC-MS/MS</w:t>
            </w:r>
          </w:p>
        </w:tc>
        <w:tc>
          <w:tcPr>
            <w:tcW w:w="2520" w:type="dxa"/>
            <w:tcBorders>
              <w:top w:val="single" w:sz="4" w:space="0" w:color="auto"/>
              <w:left w:val="nil"/>
              <w:bottom w:val="single" w:sz="4" w:space="0" w:color="auto"/>
              <w:right w:val="single" w:sz="4" w:space="0" w:color="auto"/>
            </w:tcBorders>
            <w:shd w:val="clear" w:color="auto" w:fill="auto"/>
            <w:hideMark/>
          </w:tcPr>
          <w:p w14:paraId="1221F4FB" w14:textId="77777777" w:rsidR="002E5CD2" w:rsidRPr="00590C27" w:rsidRDefault="002E5CD2" w:rsidP="003B0252">
            <w:pPr>
              <w:pStyle w:val="ITRCTableText"/>
            </w:pPr>
            <w:r w:rsidRPr="00590C27">
              <w:t>IDL (ng/mL): 0.055</w:t>
            </w:r>
            <w:r>
              <w:br/>
            </w:r>
            <w:r w:rsidRPr="00590C27">
              <w:br w:type="page"/>
            </w:r>
            <w:r w:rsidRPr="00590C27">
              <w:br w:type="page"/>
              <w:t>IQL (ng/mL): 0.061</w:t>
            </w:r>
          </w:p>
        </w:tc>
      </w:tr>
    </w:tbl>
    <w:p w14:paraId="5152C3F3" w14:textId="61C37509" w:rsidR="002E5CD2" w:rsidRDefault="002E5CD2" w:rsidP="002E5CD2">
      <w:pPr>
        <w:pStyle w:val="ITRCTableNote"/>
      </w:pPr>
      <w:r w:rsidRPr="004A4694">
        <w:t>Notes:</w:t>
      </w:r>
      <w:r>
        <w:t xml:space="preserve"> </w:t>
      </w:r>
      <w:r w:rsidRPr="008B10A5">
        <w:t>µm=micrometer, ASE</w:t>
      </w:r>
      <w:r>
        <w:t>=</w:t>
      </w:r>
      <w:r w:rsidRPr="008B10A5">
        <w:t>accelerated solvent extraction, HPLC-MS/MS=high</w:t>
      </w:r>
      <w:r w:rsidRPr="003B0252">
        <w:t>–</w:t>
      </w:r>
      <w:r w:rsidRPr="008B10A5">
        <w:t>performance liquid chromatography</w:t>
      </w:r>
      <w:r w:rsidRPr="003B0252">
        <w:t xml:space="preserve">–tandem </w:t>
      </w:r>
      <w:r w:rsidRPr="008B10A5">
        <w:t>mass spectrometry</w:t>
      </w:r>
      <w:r w:rsidRPr="004A4694">
        <w:t>,</w:t>
      </w:r>
      <w:r w:rsidRPr="008B10A5">
        <w:t xml:space="preserve"> IDL=instrument detection limit, IQL=instrument quantification limit, LC-MS/MS</w:t>
      </w:r>
      <w:r>
        <w:t>=</w:t>
      </w:r>
      <w:r w:rsidRPr="008B10A5">
        <w:t xml:space="preserve">liquid chromatography / tandem mass spectrometry, LOD=limit of detection, LOQ=limit of quantitation, MDL=method detection limit, </w:t>
      </w:r>
      <w:r w:rsidRPr="004A4694">
        <w:t xml:space="preserve">MQL=method quantification limit, </w:t>
      </w:r>
      <w:r w:rsidRPr="008B10A5">
        <w:t>ND=</w:t>
      </w:r>
      <w:proofErr w:type="spellStart"/>
      <w:r w:rsidRPr="008B10A5">
        <w:t>nondetect</w:t>
      </w:r>
      <w:proofErr w:type="spellEnd"/>
      <w:r w:rsidRPr="008B10A5">
        <w:t xml:space="preserve">, ng/g=nanogram per gram, </w:t>
      </w:r>
      <w:r w:rsidRPr="004A4694">
        <w:t xml:space="preserve">ng/mL=nanogram per milliliter, </w:t>
      </w:r>
      <w:proofErr w:type="spellStart"/>
      <w:r w:rsidRPr="004A4694">
        <w:t>pg</w:t>
      </w:r>
      <w:proofErr w:type="spellEnd"/>
      <w:r w:rsidRPr="004A4694">
        <w:t>/m</w:t>
      </w:r>
      <w:r w:rsidRPr="004A4694">
        <w:rPr>
          <w:vertAlign w:val="superscript"/>
        </w:rPr>
        <w:t>3</w:t>
      </w:r>
      <w:r w:rsidRPr="004A4694">
        <w:t>=picograms per cubic meter,</w:t>
      </w:r>
      <w:r w:rsidRPr="008B10A5">
        <w:t xml:space="preserve"> </w:t>
      </w:r>
      <w:r w:rsidRPr="004A4694">
        <w:t>PPD=para-phenylenediamines, PPD-q=para-phenylenediamines-quinone</w:t>
      </w:r>
      <w:r w:rsidR="00287474">
        <w:t>s</w:t>
      </w:r>
      <w:r w:rsidRPr="004A4694">
        <w:t>,</w:t>
      </w:r>
      <w:r w:rsidRPr="008B10A5">
        <w:t xml:space="preserve"> SD=standard deviation, U</w:t>
      </w:r>
      <w:r w:rsidRPr="004A4694">
        <w:t>HPLC</w:t>
      </w:r>
      <w:r>
        <w:t>=</w:t>
      </w:r>
      <w:r w:rsidRPr="004A4694">
        <w:t>ultra-high</w:t>
      </w:r>
      <w:r w:rsidRPr="003B0252">
        <w:t>–</w:t>
      </w:r>
      <w:r w:rsidRPr="004A4694">
        <w:t>performance liquid chromatography</w:t>
      </w:r>
    </w:p>
    <w:p w14:paraId="6F34212F" w14:textId="77777777" w:rsidR="002E5CD2" w:rsidRDefault="002E5CD2" w:rsidP="002E5CD2">
      <w:pPr>
        <w:pStyle w:val="ITRCTableNote"/>
      </w:pPr>
      <w:r w:rsidRPr="00590C27">
        <w:t>*This information may be available in the supplemental information section, but we were unable to obtain access.</w:t>
      </w:r>
    </w:p>
    <w:p w14:paraId="0C35CFD8" w14:textId="570218E6" w:rsidR="00B13334" w:rsidRPr="00022A27" w:rsidRDefault="00022A27" w:rsidP="002E5CD2">
      <w:pPr>
        <w:rPr>
          <w:b/>
          <w:bCs/>
        </w:rPr>
      </w:pPr>
      <w:r w:rsidRPr="00022A27">
        <w:rPr>
          <w:b/>
          <w:bCs/>
        </w:rPr>
        <w:t>References</w:t>
      </w:r>
    </w:p>
    <w:p w14:paraId="33108186" w14:textId="77777777" w:rsidR="00915664" w:rsidRPr="00915664" w:rsidRDefault="00915664" w:rsidP="00915664">
      <w:pPr>
        <w:pStyle w:val="Bibliography"/>
        <w:spacing w:after="240"/>
      </w:pPr>
      <w:r>
        <w:fldChar w:fldCharType="begin"/>
      </w:r>
      <w:r>
        <w:instrText xml:space="preserve"> ADDIN ZOTERO_BIBL {"uncited":[],"omitted":[],"custom":[]} CSL_BIBLIOGRAPHY </w:instrText>
      </w:r>
      <w:r>
        <w:fldChar w:fldCharType="separate"/>
      </w:r>
      <w:r w:rsidRPr="00915664">
        <w:t xml:space="preserve">Huang, Wei, Yumeng Shi, Jialing Huang, Chengliang Deng, Shuqin Tang, Xiaotu Liu, and Da Chen. 2021. “Occurrence of Substituted P-Phenylenediamine Antioxidants in Dusts.” </w:t>
      </w:r>
      <w:r w:rsidRPr="00915664">
        <w:rPr>
          <w:i/>
          <w:iCs/>
        </w:rPr>
        <w:t>Environmental Science &amp; Technology Letters</w:t>
      </w:r>
      <w:r w:rsidRPr="00915664">
        <w:t xml:space="preserve"> 8 (5): 381–85. https://doi.org/10.1021/acs.estlett.1c00148.</w:t>
      </w:r>
    </w:p>
    <w:p w14:paraId="1B45CEF8" w14:textId="77777777" w:rsidR="00915664" w:rsidRPr="00915664" w:rsidRDefault="00915664" w:rsidP="00915664">
      <w:pPr>
        <w:pStyle w:val="Bibliography"/>
        <w:spacing w:after="240"/>
      </w:pPr>
      <w:r w:rsidRPr="00915664">
        <w:t xml:space="preserve">Liang, Bowen, Jiehua Li, Bibai Du, Zibin Pan, Liang-Ying Liu, and Lixi Zeng. 2022. “E-Waste Recycling Emits Large Quantities of Emerging Aromatic Amines and Organophosphites: A Poorly Recognized Source for Another Two Classes of Synthetic Antioxidants.” </w:t>
      </w:r>
      <w:r w:rsidRPr="00915664">
        <w:rPr>
          <w:i/>
          <w:iCs/>
        </w:rPr>
        <w:t>Environmental Science &amp; Technology Letters</w:t>
      </w:r>
      <w:r w:rsidRPr="00915664">
        <w:t>, June, acs.estlett.2c00366. https://doi.org/10.1021/acs.estlett.2c00366.</w:t>
      </w:r>
    </w:p>
    <w:p w14:paraId="6021B90A" w14:textId="77777777" w:rsidR="00915664" w:rsidRPr="00915664" w:rsidRDefault="00915664" w:rsidP="00915664">
      <w:pPr>
        <w:pStyle w:val="Bibliography"/>
        <w:spacing w:after="240"/>
      </w:pPr>
      <w:r w:rsidRPr="00915664">
        <w:t xml:space="preserve">Liu, Runzeng, Yiling Li, Yongfeng Lin, Ting Ruan, and Guibin Jiang. 2019. “Emerging Aromatic Secondary Amine Contaminants and Related Derivatives in Various Dust Matrices in China.” </w:t>
      </w:r>
      <w:r w:rsidRPr="00915664">
        <w:rPr>
          <w:i/>
          <w:iCs/>
        </w:rPr>
        <w:t>Ecotoxicology and Environmental Safety</w:t>
      </w:r>
      <w:r w:rsidRPr="00915664">
        <w:t xml:space="preserve"> 170 (April):657–63. https://doi.org/10.1016/j.ecoenv.2018.12.036.</w:t>
      </w:r>
    </w:p>
    <w:p w14:paraId="08C49046" w14:textId="77777777" w:rsidR="00915664" w:rsidRPr="00915664" w:rsidRDefault="00915664" w:rsidP="00915664">
      <w:pPr>
        <w:pStyle w:val="Bibliography"/>
        <w:spacing w:after="240"/>
      </w:pPr>
      <w:r w:rsidRPr="00915664">
        <w:t xml:space="preserve">Wu, Yan, Marta Venier, and Ronald A. Hites. 2020. “Broad Exposure of the North American Environment to Phenolic and Amino Antioxidants and to Ultraviolet Filters.” </w:t>
      </w:r>
      <w:r w:rsidRPr="00915664">
        <w:rPr>
          <w:i/>
          <w:iCs/>
        </w:rPr>
        <w:t>Environmental Science &amp; Technology</w:t>
      </w:r>
      <w:r w:rsidRPr="00915664">
        <w:t xml:space="preserve"> 54 (15): 9345–55. https://doi.org/10.1021/acs.est.0c04114.</w:t>
      </w:r>
    </w:p>
    <w:p w14:paraId="77DF8686" w14:textId="77777777" w:rsidR="00915664" w:rsidRPr="00915664" w:rsidRDefault="00915664" w:rsidP="00915664">
      <w:pPr>
        <w:pStyle w:val="Bibliography"/>
        <w:spacing w:after="240"/>
      </w:pPr>
      <w:r w:rsidRPr="00915664">
        <w:lastRenderedPageBreak/>
        <w:t xml:space="preserve">Zhang, Ying-Jie, Ting-Ting Xu, Dong-Min Ye, Ze-Zhao Lin, Fei Wang, and Ying Guo. 2022. “Widespread N‑(1,3-Dimethylbutyl)‑N′‑phenyl‑p‑phenylenediamine Quinone in Size-Fractioned Atmospheric Particles and Dust of Different Indoor Environments.” </w:t>
      </w:r>
      <w:r w:rsidRPr="00915664">
        <w:rPr>
          <w:i/>
          <w:iCs/>
        </w:rPr>
        <w:t>Environmental Science &amp; Technology Letters</w:t>
      </w:r>
      <w:r w:rsidRPr="00915664">
        <w:t xml:space="preserve"> 9 (5): 420–25. https://doi.org/10.1021/acs.estlett.2c00193.</w:t>
      </w:r>
    </w:p>
    <w:p w14:paraId="5538AC41" w14:textId="77777777" w:rsidR="00915664" w:rsidRPr="00915664" w:rsidRDefault="00915664" w:rsidP="00915664">
      <w:pPr>
        <w:pStyle w:val="Bibliography"/>
        <w:spacing w:after="240"/>
      </w:pPr>
      <w:r w:rsidRPr="00915664">
        <w:t xml:space="preserve">Zhang, Zhuxia, Xijin Xu, Ziyi Qian, Qi Zhong, Qihua Wang, Machteld N. Hylkema, Harold Snieder, and Xia Huo. 2024. “Association between 6PPD-Quinone Exposure and BMI, Influenza, and Diarrhea in Children.” </w:t>
      </w:r>
      <w:r w:rsidRPr="00915664">
        <w:rPr>
          <w:i/>
          <w:iCs/>
        </w:rPr>
        <w:t>Environmental Research</w:t>
      </w:r>
      <w:r w:rsidRPr="00915664">
        <w:t xml:space="preserve"> 247 (April):118201. https://doi.org/10.1016/j.envres.2024.118201.</w:t>
      </w:r>
    </w:p>
    <w:p w14:paraId="47BA61D3" w14:textId="62692821" w:rsidR="00022A27" w:rsidRPr="002E5CD2" w:rsidRDefault="00915664" w:rsidP="00915664">
      <w:pPr>
        <w:pStyle w:val="Bibliography"/>
        <w:spacing w:after="240"/>
      </w:pPr>
      <w:r w:rsidRPr="00915664">
        <w:t xml:space="preserve">Zhu, Jianqiang, Ruyue Guo, Shengtao Jiang, Pengfei Wu, and Hangbiao Jin. 2024. “Occurrence of </w:t>
      </w:r>
      <w:r w:rsidRPr="00915664">
        <w:rPr>
          <w:i/>
          <w:iCs/>
        </w:rPr>
        <w:t>p</w:t>
      </w:r>
      <w:r w:rsidRPr="00915664">
        <w:t xml:space="preserve">-Phenylenediamine Antioxidants (PPDs) and PPDs-Derived Quinones in Indoor Dust.” </w:t>
      </w:r>
      <w:r w:rsidRPr="00915664">
        <w:rPr>
          <w:i/>
          <w:iCs/>
        </w:rPr>
        <w:t>Science of the Total Environment</w:t>
      </w:r>
      <w:r w:rsidRPr="00915664">
        <w:t xml:space="preserve"> 912 (February):169325. https://doi.org/10.1016/j.scitotenv.2023.169325.</w:t>
      </w:r>
      <w:r>
        <w:fldChar w:fldCharType="end"/>
      </w:r>
    </w:p>
    <w:sectPr w:rsidR="00022A27" w:rsidRPr="002E5CD2" w:rsidSect="00A51CC8">
      <w:headerReference w:type="default" r:id="rId15"/>
      <w:footerReference w:type="default" r:id="rId16"/>
      <w:pgSz w:w="24480" w:h="15840" w:orient="landscape" w:code="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95851" w14:textId="77777777" w:rsidR="00ED0247" w:rsidRDefault="00ED0247" w:rsidP="00A51CC8">
      <w:pPr>
        <w:spacing w:after="0"/>
      </w:pPr>
      <w:r>
        <w:separator/>
      </w:r>
    </w:p>
  </w:endnote>
  <w:endnote w:type="continuationSeparator" w:id="0">
    <w:p w14:paraId="0B39C84B" w14:textId="77777777" w:rsidR="00ED0247" w:rsidRDefault="00ED0247" w:rsidP="00A51CC8">
      <w:pPr>
        <w:spacing w:after="0"/>
      </w:pPr>
      <w:r>
        <w:continuationSeparator/>
      </w:r>
    </w:p>
  </w:endnote>
  <w:endnote w:type="continuationNotice" w:id="1">
    <w:p w14:paraId="31E83E39" w14:textId="77777777" w:rsidR="00ED0247" w:rsidRDefault="00ED02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20479" w14:textId="396CB498" w:rsidR="00A51CC8" w:rsidRPr="00A51CC8" w:rsidRDefault="00F94387" w:rsidP="00F94387">
    <w:pPr>
      <w:jc w:val="center"/>
    </w:pPr>
    <w:r>
      <w:rPr>
        <w:rStyle w:val="PageNumber"/>
        <w:rFonts w:eastAsiaTheme="majorEastAsia"/>
      </w:rPr>
      <w:t xml:space="preserve">Page </w:t>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rPr>
      <w:t>2</w:t>
    </w:r>
    <w:r>
      <w:rPr>
        <w:rStyle w:val="PageNumber"/>
        <w:rFonts w:eastAsiaTheme="majorEastAsia"/>
      </w:rPr>
      <w:fldChar w:fldCharType="end"/>
    </w:r>
    <w:r>
      <w:rPr>
        <w:rStyle w:val="PageNumber"/>
        <w:rFonts w:eastAsiaTheme="majorEastAsia"/>
      </w:rPr>
      <w:t xml:space="preserve"> of </w:t>
    </w:r>
    <w:r>
      <w:rPr>
        <w:rStyle w:val="PageNumber"/>
        <w:rFonts w:eastAsiaTheme="majorEastAsia"/>
      </w:rPr>
      <w:fldChar w:fldCharType="begin"/>
    </w:r>
    <w:r>
      <w:rPr>
        <w:rStyle w:val="PageNumber"/>
        <w:rFonts w:eastAsiaTheme="majorEastAsia"/>
      </w:rPr>
      <w:instrText xml:space="preserve"> DOCPROPERTY  Pages  \* MERGEFORMAT </w:instrText>
    </w:r>
    <w:r>
      <w:rPr>
        <w:rStyle w:val="PageNumber"/>
        <w:rFonts w:eastAsiaTheme="majorEastAsia"/>
      </w:rPr>
      <w:fldChar w:fldCharType="separate"/>
    </w:r>
    <w:r w:rsidR="008C0E0D">
      <w:rPr>
        <w:rStyle w:val="PageNumber"/>
        <w:rFonts w:eastAsiaTheme="majorEastAsia"/>
      </w:rPr>
      <w:t>3</w:t>
    </w:r>
    <w:r>
      <w:rPr>
        <w:rStyle w:val="PageNumber"/>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EB755" w14:textId="77777777" w:rsidR="00ED0247" w:rsidRDefault="00ED0247" w:rsidP="00A51CC8">
      <w:pPr>
        <w:spacing w:after="0"/>
      </w:pPr>
      <w:r>
        <w:separator/>
      </w:r>
    </w:p>
  </w:footnote>
  <w:footnote w:type="continuationSeparator" w:id="0">
    <w:p w14:paraId="10F6490E" w14:textId="77777777" w:rsidR="00ED0247" w:rsidRDefault="00ED0247" w:rsidP="00A51CC8">
      <w:pPr>
        <w:spacing w:after="0"/>
      </w:pPr>
      <w:r>
        <w:continuationSeparator/>
      </w:r>
    </w:p>
  </w:footnote>
  <w:footnote w:type="continuationNotice" w:id="1">
    <w:p w14:paraId="4019FB73" w14:textId="77777777" w:rsidR="00ED0247" w:rsidRDefault="00ED02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A747E" w14:textId="623B7DCE" w:rsidR="00F94387" w:rsidRPr="00054694" w:rsidRDefault="00054694" w:rsidP="00054694">
    <w:pPr>
      <w:pStyle w:val="Header"/>
      <w:tabs>
        <w:tab w:val="clear" w:pos="9360"/>
        <w:tab w:val="right" w:pos="21600"/>
      </w:tabs>
    </w:pPr>
    <w:r>
      <w:t xml:space="preserve">ITRC Tire Anti-Degradants (6PPD) Team </w:t>
    </w:r>
    <w:r>
      <w:tab/>
    </w:r>
    <w:r>
      <w:tab/>
      <w:t>September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C8"/>
    <w:rsid w:val="00006779"/>
    <w:rsid w:val="00022A27"/>
    <w:rsid w:val="00054694"/>
    <w:rsid w:val="00093617"/>
    <w:rsid w:val="000C044F"/>
    <w:rsid w:val="000C69FD"/>
    <w:rsid w:val="000E1BD3"/>
    <w:rsid w:val="000E79A8"/>
    <w:rsid w:val="000F3CB6"/>
    <w:rsid w:val="001C1BEC"/>
    <w:rsid w:val="0020120B"/>
    <w:rsid w:val="00216422"/>
    <w:rsid w:val="00287474"/>
    <w:rsid w:val="002C369F"/>
    <w:rsid w:val="002C3F44"/>
    <w:rsid w:val="002E5CD2"/>
    <w:rsid w:val="00381CC4"/>
    <w:rsid w:val="003E16D3"/>
    <w:rsid w:val="003F52A3"/>
    <w:rsid w:val="004828BC"/>
    <w:rsid w:val="004D5FE4"/>
    <w:rsid w:val="00513096"/>
    <w:rsid w:val="005720BB"/>
    <w:rsid w:val="00613235"/>
    <w:rsid w:val="00636D9A"/>
    <w:rsid w:val="00656E12"/>
    <w:rsid w:val="00687F23"/>
    <w:rsid w:val="007825CF"/>
    <w:rsid w:val="007B4B9A"/>
    <w:rsid w:val="007E3B13"/>
    <w:rsid w:val="00811629"/>
    <w:rsid w:val="008C0E0D"/>
    <w:rsid w:val="008E2442"/>
    <w:rsid w:val="0090092C"/>
    <w:rsid w:val="00915664"/>
    <w:rsid w:val="0092181C"/>
    <w:rsid w:val="009259E1"/>
    <w:rsid w:val="009B2891"/>
    <w:rsid w:val="009C5459"/>
    <w:rsid w:val="00A46706"/>
    <w:rsid w:val="00A51CC8"/>
    <w:rsid w:val="00AA5FBD"/>
    <w:rsid w:val="00AE0D1E"/>
    <w:rsid w:val="00B13334"/>
    <w:rsid w:val="00B3799D"/>
    <w:rsid w:val="00B5109A"/>
    <w:rsid w:val="00BA1E51"/>
    <w:rsid w:val="00BC7A19"/>
    <w:rsid w:val="00C57C21"/>
    <w:rsid w:val="00C707D3"/>
    <w:rsid w:val="00C94615"/>
    <w:rsid w:val="00CD630A"/>
    <w:rsid w:val="00CE7CD8"/>
    <w:rsid w:val="00D06B72"/>
    <w:rsid w:val="00D147E5"/>
    <w:rsid w:val="00D17DF4"/>
    <w:rsid w:val="00D61C89"/>
    <w:rsid w:val="00DD4974"/>
    <w:rsid w:val="00DE7C58"/>
    <w:rsid w:val="00E05A64"/>
    <w:rsid w:val="00E567A2"/>
    <w:rsid w:val="00E66371"/>
    <w:rsid w:val="00EA31F1"/>
    <w:rsid w:val="00ED0247"/>
    <w:rsid w:val="00F55B8D"/>
    <w:rsid w:val="00F94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DE474"/>
  <w15:chartTrackingRefBased/>
  <w15:docId w15:val="{1C90A276-BCFF-46BD-B501-EB4A542A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imes New Roman"/>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TRC Body Text"/>
    <w:qFormat/>
    <w:rsid w:val="00A51CC8"/>
    <w:pPr>
      <w:spacing w:after="240" w:line="240" w:lineRule="auto"/>
    </w:pPr>
    <w:rPr>
      <w:rFonts w:ascii="Times New Roman" w:eastAsia="Times New Roman" w:hAnsi="Times New Roman"/>
      <w:sz w:val="24"/>
    </w:rPr>
  </w:style>
  <w:style w:type="paragraph" w:styleId="Heading1">
    <w:name w:val="heading 1"/>
    <w:basedOn w:val="Normal"/>
    <w:next w:val="Normal"/>
    <w:link w:val="Heading1Char"/>
    <w:uiPriority w:val="9"/>
    <w:qFormat/>
    <w:rsid w:val="00A51CC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1CC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1CC8"/>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1CC8"/>
    <w:pPr>
      <w:keepNext/>
      <w:keepLines/>
      <w:spacing w:before="80" w:after="40" w:line="259" w:lineRule="auto"/>
      <w:outlineLvl w:val="3"/>
    </w:pPr>
    <w:rPr>
      <w:rFonts w:asciiTheme="minorHAnsi" w:eastAsiaTheme="majorEastAsia" w:hAnsiTheme="minorHAnsi" w:cstheme="majorBidi"/>
      <w:i/>
      <w:iCs/>
      <w:color w:val="0F4761" w:themeColor="accent1" w:themeShade="BF"/>
      <w:sz w:val="22"/>
    </w:rPr>
  </w:style>
  <w:style w:type="paragraph" w:styleId="Heading5">
    <w:name w:val="heading 5"/>
    <w:basedOn w:val="Normal"/>
    <w:next w:val="Normal"/>
    <w:link w:val="Heading5Char"/>
    <w:uiPriority w:val="9"/>
    <w:semiHidden/>
    <w:unhideWhenUsed/>
    <w:qFormat/>
    <w:rsid w:val="00A51CC8"/>
    <w:pPr>
      <w:keepNext/>
      <w:keepLines/>
      <w:spacing w:before="80" w:after="40" w:line="259" w:lineRule="auto"/>
      <w:outlineLvl w:val="4"/>
    </w:pPr>
    <w:rPr>
      <w:rFonts w:asciiTheme="minorHAnsi" w:eastAsiaTheme="majorEastAsia" w:hAnsiTheme="minorHAnsi" w:cstheme="majorBidi"/>
      <w:color w:val="0F4761" w:themeColor="accent1" w:themeShade="BF"/>
      <w:sz w:val="22"/>
    </w:rPr>
  </w:style>
  <w:style w:type="paragraph" w:styleId="Heading6">
    <w:name w:val="heading 6"/>
    <w:basedOn w:val="Normal"/>
    <w:next w:val="Normal"/>
    <w:link w:val="Heading6Char"/>
    <w:uiPriority w:val="9"/>
    <w:semiHidden/>
    <w:unhideWhenUsed/>
    <w:qFormat/>
    <w:rsid w:val="00A51CC8"/>
    <w:pPr>
      <w:keepNext/>
      <w:keepLines/>
      <w:spacing w:before="40" w:after="0" w:line="259" w:lineRule="auto"/>
      <w:outlineLvl w:val="5"/>
    </w:pPr>
    <w:rPr>
      <w:rFonts w:asciiTheme="minorHAnsi" w:eastAsiaTheme="majorEastAsia" w:hAnsiTheme="minorHAnsi" w:cstheme="majorBidi"/>
      <w:i/>
      <w:iCs/>
      <w:color w:val="595959" w:themeColor="text1" w:themeTint="A6"/>
      <w:sz w:val="22"/>
    </w:rPr>
  </w:style>
  <w:style w:type="paragraph" w:styleId="Heading7">
    <w:name w:val="heading 7"/>
    <w:basedOn w:val="Normal"/>
    <w:next w:val="Normal"/>
    <w:link w:val="Heading7Char"/>
    <w:uiPriority w:val="9"/>
    <w:semiHidden/>
    <w:unhideWhenUsed/>
    <w:qFormat/>
    <w:rsid w:val="00A51CC8"/>
    <w:pPr>
      <w:keepNext/>
      <w:keepLines/>
      <w:spacing w:before="40" w:after="0" w:line="259" w:lineRule="auto"/>
      <w:outlineLvl w:val="6"/>
    </w:pPr>
    <w:rPr>
      <w:rFonts w:asciiTheme="minorHAnsi" w:eastAsiaTheme="majorEastAsia" w:hAnsiTheme="minorHAnsi" w:cstheme="majorBidi"/>
      <w:color w:val="595959" w:themeColor="text1" w:themeTint="A6"/>
      <w:sz w:val="22"/>
    </w:rPr>
  </w:style>
  <w:style w:type="paragraph" w:styleId="Heading8">
    <w:name w:val="heading 8"/>
    <w:basedOn w:val="Normal"/>
    <w:next w:val="Normal"/>
    <w:link w:val="Heading8Char"/>
    <w:uiPriority w:val="9"/>
    <w:semiHidden/>
    <w:unhideWhenUsed/>
    <w:qFormat/>
    <w:rsid w:val="00A51CC8"/>
    <w:pPr>
      <w:keepNext/>
      <w:keepLines/>
      <w:spacing w:after="0" w:line="259" w:lineRule="auto"/>
      <w:outlineLvl w:val="7"/>
    </w:pPr>
    <w:rPr>
      <w:rFonts w:asciiTheme="minorHAnsi" w:eastAsiaTheme="majorEastAsia" w:hAnsiTheme="minorHAnsi" w:cstheme="majorBidi"/>
      <w:i/>
      <w:iCs/>
      <w:color w:val="272727" w:themeColor="text1" w:themeTint="D8"/>
      <w:sz w:val="22"/>
    </w:rPr>
  </w:style>
  <w:style w:type="paragraph" w:styleId="Heading9">
    <w:name w:val="heading 9"/>
    <w:basedOn w:val="Normal"/>
    <w:next w:val="Normal"/>
    <w:link w:val="Heading9Char"/>
    <w:uiPriority w:val="9"/>
    <w:semiHidden/>
    <w:unhideWhenUsed/>
    <w:qFormat/>
    <w:rsid w:val="00A51CC8"/>
    <w:pPr>
      <w:keepNext/>
      <w:keepLines/>
      <w:spacing w:after="0" w:line="259" w:lineRule="auto"/>
      <w:outlineLvl w:val="8"/>
    </w:pPr>
    <w:rPr>
      <w:rFonts w:asciiTheme="minorHAnsi" w:eastAsiaTheme="majorEastAsia" w:hAnsiTheme="minorHAnsi" w:cstheme="majorBidi"/>
      <w:color w:val="272727" w:themeColor="text1" w:themeTint="D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C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C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CC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CC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51CC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51CC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51CC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51CC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51CC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51C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CC8"/>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CC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51CC8"/>
    <w:pPr>
      <w:spacing w:before="160" w:after="160" w:line="259" w:lineRule="auto"/>
      <w:jc w:val="center"/>
    </w:pPr>
    <w:rPr>
      <w:rFonts w:ascii="Tahoma" w:eastAsiaTheme="minorHAnsi" w:hAnsi="Tahoma"/>
      <w:i/>
      <w:iCs/>
      <w:color w:val="404040" w:themeColor="text1" w:themeTint="BF"/>
      <w:sz w:val="22"/>
    </w:rPr>
  </w:style>
  <w:style w:type="character" w:customStyle="1" w:styleId="QuoteChar">
    <w:name w:val="Quote Char"/>
    <w:basedOn w:val="DefaultParagraphFont"/>
    <w:link w:val="Quote"/>
    <w:uiPriority w:val="29"/>
    <w:rsid w:val="00A51CC8"/>
    <w:rPr>
      <w:i/>
      <w:iCs/>
      <w:color w:val="404040" w:themeColor="text1" w:themeTint="BF"/>
    </w:rPr>
  </w:style>
  <w:style w:type="paragraph" w:styleId="ListParagraph">
    <w:name w:val="List Paragraph"/>
    <w:basedOn w:val="Normal"/>
    <w:uiPriority w:val="34"/>
    <w:qFormat/>
    <w:rsid w:val="00A51CC8"/>
    <w:pPr>
      <w:spacing w:after="160" w:line="259" w:lineRule="auto"/>
      <w:ind w:left="720"/>
      <w:contextualSpacing/>
    </w:pPr>
    <w:rPr>
      <w:rFonts w:ascii="Tahoma" w:eastAsiaTheme="minorHAnsi" w:hAnsi="Tahoma"/>
      <w:sz w:val="22"/>
    </w:rPr>
  </w:style>
  <w:style w:type="character" w:styleId="IntenseEmphasis">
    <w:name w:val="Intense Emphasis"/>
    <w:basedOn w:val="DefaultParagraphFont"/>
    <w:uiPriority w:val="21"/>
    <w:qFormat/>
    <w:rsid w:val="00A51CC8"/>
    <w:rPr>
      <w:i/>
      <w:iCs/>
      <w:color w:val="0F4761" w:themeColor="accent1" w:themeShade="BF"/>
    </w:rPr>
  </w:style>
  <w:style w:type="paragraph" w:styleId="IntenseQuote">
    <w:name w:val="Intense Quote"/>
    <w:basedOn w:val="Normal"/>
    <w:next w:val="Normal"/>
    <w:link w:val="IntenseQuoteChar"/>
    <w:uiPriority w:val="30"/>
    <w:qFormat/>
    <w:rsid w:val="00A51CC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ahoma" w:eastAsiaTheme="minorHAnsi" w:hAnsi="Tahoma"/>
      <w:i/>
      <w:iCs/>
      <w:color w:val="0F4761" w:themeColor="accent1" w:themeShade="BF"/>
      <w:sz w:val="22"/>
    </w:rPr>
  </w:style>
  <w:style w:type="character" w:customStyle="1" w:styleId="IntenseQuoteChar">
    <w:name w:val="Intense Quote Char"/>
    <w:basedOn w:val="DefaultParagraphFont"/>
    <w:link w:val="IntenseQuote"/>
    <w:uiPriority w:val="30"/>
    <w:rsid w:val="00A51CC8"/>
    <w:rPr>
      <w:i/>
      <w:iCs/>
      <w:color w:val="0F4761" w:themeColor="accent1" w:themeShade="BF"/>
    </w:rPr>
  </w:style>
  <w:style w:type="character" w:styleId="IntenseReference">
    <w:name w:val="Intense Reference"/>
    <w:basedOn w:val="DefaultParagraphFont"/>
    <w:uiPriority w:val="32"/>
    <w:qFormat/>
    <w:rsid w:val="00A51CC8"/>
    <w:rPr>
      <w:b/>
      <w:bCs/>
      <w:smallCaps/>
      <w:color w:val="0F4761" w:themeColor="accent1" w:themeShade="BF"/>
      <w:spacing w:val="5"/>
    </w:rPr>
  </w:style>
  <w:style w:type="paragraph" w:customStyle="1" w:styleId="ITRCTableText">
    <w:name w:val="ITRC Table Text"/>
    <w:basedOn w:val="Normal"/>
    <w:rsid w:val="00A51CC8"/>
    <w:rPr>
      <w:sz w:val="20"/>
    </w:rPr>
  </w:style>
  <w:style w:type="paragraph" w:customStyle="1" w:styleId="ITRCTableColumnHeading">
    <w:name w:val="ITRC Table Column Heading"/>
    <w:basedOn w:val="ITRCTableText"/>
    <w:rsid w:val="00A51CC8"/>
    <w:pPr>
      <w:keepNext/>
      <w:keepLines/>
      <w:jc w:val="center"/>
    </w:pPr>
    <w:rPr>
      <w:b/>
      <w:bCs/>
    </w:rPr>
  </w:style>
  <w:style w:type="paragraph" w:customStyle="1" w:styleId="ITRCTableTitle">
    <w:name w:val="ITRC Table Title"/>
    <w:basedOn w:val="ITRCTableText"/>
    <w:rsid w:val="00A51CC8"/>
    <w:pPr>
      <w:keepNext/>
      <w:jc w:val="center"/>
    </w:pPr>
    <w:rPr>
      <w:b/>
      <w:bCs/>
      <w:sz w:val="24"/>
    </w:rPr>
  </w:style>
  <w:style w:type="character" w:styleId="CommentReference">
    <w:name w:val="annotation reference"/>
    <w:basedOn w:val="DefaultParagraphFont"/>
    <w:semiHidden/>
    <w:rsid w:val="00A51CC8"/>
    <w:rPr>
      <w:sz w:val="16"/>
      <w:szCs w:val="16"/>
    </w:rPr>
  </w:style>
  <w:style w:type="paragraph" w:styleId="CommentText">
    <w:name w:val="annotation text"/>
    <w:basedOn w:val="Normal"/>
    <w:link w:val="CommentTextChar"/>
    <w:semiHidden/>
    <w:rsid w:val="00A51CC8"/>
    <w:rPr>
      <w:sz w:val="20"/>
    </w:rPr>
  </w:style>
  <w:style w:type="character" w:customStyle="1" w:styleId="CommentTextChar">
    <w:name w:val="Comment Text Char"/>
    <w:basedOn w:val="DefaultParagraphFont"/>
    <w:link w:val="CommentText"/>
    <w:semiHidden/>
    <w:rsid w:val="00A51CC8"/>
    <w:rPr>
      <w:rFonts w:ascii="Times New Roman" w:eastAsia="Times New Roman" w:hAnsi="Times New Roman"/>
      <w:sz w:val="20"/>
    </w:rPr>
  </w:style>
  <w:style w:type="paragraph" w:customStyle="1" w:styleId="Source">
    <w:name w:val="Source"/>
    <w:basedOn w:val="ITRCTableText"/>
    <w:qFormat/>
    <w:rsid w:val="00A51CC8"/>
    <w:pPr>
      <w:spacing w:after="0"/>
    </w:pPr>
    <w:rPr>
      <w:color w:val="0563C1"/>
      <w:u w:val="single"/>
    </w:rPr>
  </w:style>
  <w:style w:type="paragraph" w:customStyle="1" w:styleId="ITRCTableNote">
    <w:name w:val="ITRC Table Note"/>
    <w:qFormat/>
    <w:rsid w:val="00A51CC8"/>
    <w:pPr>
      <w:spacing w:after="240" w:line="240" w:lineRule="auto"/>
    </w:pPr>
    <w:rPr>
      <w:rFonts w:ascii="Times New Roman" w:eastAsia="Times New Roman" w:hAnsi="Times New Roman"/>
      <w:sz w:val="20"/>
    </w:rPr>
  </w:style>
  <w:style w:type="paragraph" w:styleId="Header">
    <w:name w:val="header"/>
    <w:basedOn w:val="Normal"/>
    <w:link w:val="HeaderChar"/>
    <w:uiPriority w:val="99"/>
    <w:unhideWhenUsed/>
    <w:rsid w:val="00A51CC8"/>
    <w:pPr>
      <w:tabs>
        <w:tab w:val="center" w:pos="4680"/>
        <w:tab w:val="right" w:pos="9360"/>
      </w:tabs>
      <w:spacing w:after="0"/>
    </w:pPr>
  </w:style>
  <w:style w:type="character" w:customStyle="1" w:styleId="HeaderChar">
    <w:name w:val="Header Char"/>
    <w:basedOn w:val="DefaultParagraphFont"/>
    <w:link w:val="Header"/>
    <w:uiPriority w:val="99"/>
    <w:rsid w:val="00A51CC8"/>
    <w:rPr>
      <w:rFonts w:ascii="Times New Roman" w:eastAsia="Times New Roman" w:hAnsi="Times New Roman"/>
      <w:sz w:val="24"/>
    </w:rPr>
  </w:style>
  <w:style w:type="paragraph" w:styleId="Footer">
    <w:name w:val="footer"/>
    <w:basedOn w:val="Normal"/>
    <w:link w:val="FooterChar"/>
    <w:uiPriority w:val="99"/>
    <w:unhideWhenUsed/>
    <w:rsid w:val="00A51CC8"/>
    <w:pPr>
      <w:tabs>
        <w:tab w:val="center" w:pos="4680"/>
        <w:tab w:val="right" w:pos="9360"/>
      </w:tabs>
      <w:spacing w:after="0"/>
    </w:pPr>
  </w:style>
  <w:style w:type="character" w:customStyle="1" w:styleId="FooterChar">
    <w:name w:val="Footer Char"/>
    <w:basedOn w:val="DefaultParagraphFont"/>
    <w:link w:val="Footer"/>
    <w:uiPriority w:val="99"/>
    <w:rsid w:val="00A51CC8"/>
    <w:rPr>
      <w:rFonts w:ascii="Times New Roman" w:eastAsia="Times New Roman" w:hAnsi="Times New Roman"/>
      <w:sz w:val="24"/>
    </w:rPr>
  </w:style>
  <w:style w:type="character" w:styleId="PageNumber">
    <w:name w:val="page number"/>
    <w:aliases w:val="ITRC Page number"/>
    <w:rsid w:val="00A51CC8"/>
    <w:rPr>
      <w:rFonts w:ascii="Times New Roman" w:hAnsi="Times New Roman"/>
      <w:sz w:val="20"/>
    </w:rPr>
  </w:style>
  <w:style w:type="paragraph" w:styleId="Revision">
    <w:name w:val="Revision"/>
    <w:hidden/>
    <w:uiPriority w:val="99"/>
    <w:semiHidden/>
    <w:rsid w:val="00C94615"/>
    <w:pPr>
      <w:spacing w:after="0" w:line="240" w:lineRule="auto"/>
    </w:pPr>
    <w:rPr>
      <w:rFonts w:ascii="Times New Roman" w:eastAsia="Times New Roman" w:hAnsi="Times New Roman"/>
      <w:sz w:val="24"/>
    </w:rPr>
  </w:style>
  <w:style w:type="paragraph" w:styleId="CommentSubject">
    <w:name w:val="annotation subject"/>
    <w:basedOn w:val="CommentText"/>
    <w:next w:val="CommentText"/>
    <w:link w:val="CommentSubjectChar"/>
    <w:uiPriority w:val="99"/>
    <w:semiHidden/>
    <w:unhideWhenUsed/>
    <w:rsid w:val="00C94615"/>
    <w:rPr>
      <w:b/>
      <w:bCs/>
    </w:rPr>
  </w:style>
  <w:style w:type="character" w:customStyle="1" w:styleId="CommentSubjectChar">
    <w:name w:val="Comment Subject Char"/>
    <w:basedOn w:val="CommentTextChar"/>
    <w:link w:val="CommentSubject"/>
    <w:uiPriority w:val="99"/>
    <w:semiHidden/>
    <w:rsid w:val="00C94615"/>
    <w:rPr>
      <w:rFonts w:ascii="Times New Roman" w:eastAsia="Times New Roman" w:hAnsi="Times New Roman"/>
      <w:b/>
      <w:bCs/>
      <w:sz w:val="20"/>
    </w:rPr>
  </w:style>
  <w:style w:type="character" w:styleId="Hyperlink">
    <w:name w:val="Hyperlink"/>
    <w:basedOn w:val="DefaultParagraphFont"/>
    <w:uiPriority w:val="99"/>
    <w:unhideWhenUsed/>
    <w:rsid w:val="00BC7A19"/>
    <w:rPr>
      <w:color w:val="467886" w:themeColor="hyperlink"/>
      <w:u w:val="single"/>
    </w:rPr>
  </w:style>
  <w:style w:type="character" w:styleId="UnresolvedMention">
    <w:name w:val="Unresolved Mention"/>
    <w:basedOn w:val="DefaultParagraphFont"/>
    <w:uiPriority w:val="99"/>
    <w:semiHidden/>
    <w:unhideWhenUsed/>
    <w:rsid w:val="00BC7A19"/>
    <w:rPr>
      <w:color w:val="605E5C"/>
      <w:shd w:val="clear" w:color="auto" w:fill="E1DFDD"/>
    </w:rPr>
  </w:style>
  <w:style w:type="character" w:styleId="FollowedHyperlink">
    <w:name w:val="FollowedHyperlink"/>
    <w:basedOn w:val="DefaultParagraphFont"/>
    <w:uiPriority w:val="99"/>
    <w:semiHidden/>
    <w:unhideWhenUsed/>
    <w:rsid w:val="00BC7A19"/>
    <w:rPr>
      <w:color w:val="96607D" w:themeColor="followedHyperlink"/>
      <w:u w:val="single"/>
    </w:rPr>
  </w:style>
  <w:style w:type="paragraph" w:styleId="Bibliography">
    <w:name w:val="Bibliography"/>
    <w:basedOn w:val="Normal"/>
    <w:next w:val="Normal"/>
    <w:uiPriority w:val="37"/>
    <w:unhideWhenUsed/>
    <w:rsid w:val="00915664"/>
    <w:pPr>
      <w:spacing w:after="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16/j.scitotenv.2023.16932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pubs.acs.org/doi/10.1021/acs.est.0c04114?ref=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s.acs.org/doi/10.1021/acs.estlett.1c0014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i.org/10.1021/acs.estlett.2c00193" TargetMode="External"/><Relationship Id="rId4" Type="http://schemas.openxmlformats.org/officeDocument/2006/relationships/styles" Target="styles.xml"/><Relationship Id="rId9" Type="http://schemas.openxmlformats.org/officeDocument/2006/relationships/hyperlink" Target="https://doi.org/10.1021/acs.estlett.2c00366" TargetMode="External"/><Relationship Id="rId14" Type="http://schemas.openxmlformats.org/officeDocument/2006/relationships/hyperlink" Target="https://pubmed.ncbi.nlm.nih.gov/382200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733e71-d234-4b62-bf8f-0e98c18cd2d1" xsi:nil="true"/>
    <lcf76f155ced4ddcb4097134ff3c332f xmlns="9ba537ab-4eab-42d3-bc6e-921ce24a404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23F68BBED0054ABF25E8AE529843F4" ma:contentTypeVersion="15" ma:contentTypeDescription="Create a new document." ma:contentTypeScope="" ma:versionID="203c5165011b5d6e3569bd370d6362a6">
  <xsd:schema xmlns:xsd="http://www.w3.org/2001/XMLSchema" xmlns:xs="http://www.w3.org/2001/XMLSchema" xmlns:p="http://schemas.microsoft.com/office/2006/metadata/properties" xmlns:ns2="9ba537ab-4eab-42d3-bc6e-921ce24a4045" xmlns:ns3="48733e71-d234-4b62-bf8f-0e98c18cd2d1" targetNamespace="http://schemas.microsoft.com/office/2006/metadata/properties" ma:root="true" ma:fieldsID="4088c5a2416987fb511c671c726d6de8" ns2:_="" ns3:_="">
    <xsd:import namespace="9ba537ab-4eab-42d3-bc6e-921ce24a4045"/>
    <xsd:import namespace="48733e71-d234-4b62-bf8f-0e98c18cd2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537ab-4eab-42d3-bc6e-921ce24a4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58fcfbf-fbb6-4ee5-94f9-8ba9cab504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733e71-d234-4b62-bf8f-0e98c18cd2d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4b4799-9d7d-48ba-b605-66aee24999a3}" ma:internalName="TaxCatchAll" ma:showField="CatchAllData" ma:web="48733e71-d234-4b62-bf8f-0e98c18cd2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1788E-3FDB-49BB-A22D-9B0466F6D042}">
  <ds:schemaRefs>
    <ds:schemaRef ds:uri="http://schemas.microsoft.com/sharepoint/v3/contenttype/forms"/>
  </ds:schemaRefs>
</ds:datastoreItem>
</file>

<file path=customXml/itemProps2.xml><?xml version="1.0" encoding="utf-8"?>
<ds:datastoreItem xmlns:ds="http://schemas.openxmlformats.org/officeDocument/2006/customXml" ds:itemID="{6BC1A0F2-F905-4694-AF14-319AEF2301AB}">
  <ds:schemaRefs>
    <ds:schemaRef ds:uri="http://schemas.microsoft.com/office/2006/metadata/properties"/>
    <ds:schemaRef ds:uri="http://schemas.microsoft.com/office/infopath/2007/PartnerControls"/>
    <ds:schemaRef ds:uri="48733e71-d234-4b62-bf8f-0e98c18cd2d1"/>
    <ds:schemaRef ds:uri="9ba537ab-4eab-42d3-bc6e-921ce24a4045"/>
  </ds:schemaRefs>
</ds:datastoreItem>
</file>

<file path=customXml/itemProps3.xml><?xml version="1.0" encoding="utf-8"?>
<ds:datastoreItem xmlns:ds="http://schemas.openxmlformats.org/officeDocument/2006/customXml" ds:itemID="{63918F8A-67BF-47B2-9C9D-BC60DC4D5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537ab-4eab-42d3-bc6e-921ce24a4045"/>
    <ds:schemaRef ds:uri="48733e71-d234-4b62-bf8f-0e98c18cd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3493</Words>
  <Characters>19916</Characters>
  <Application>Microsoft Office Word</Application>
  <DocSecurity>0</DocSecurity>
  <Lines>165</Lines>
  <Paragraphs>46</Paragraphs>
  <ScaleCrop>false</ScaleCrop>
  <Company/>
  <LinksUpToDate>false</LinksUpToDate>
  <CharactersWithSpaces>23363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Cummins</dc:creator>
  <cp:keywords/>
  <dc:description/>
  <cp:lastModifiedBy>Steve Brauner</cp:lastModifiedBy>
  <cp:revision>9</cp:revision>
  <cp:lastPrinted>2024-08-07T21:36:00Z</cp:lastPrinted>
  <dcterms:created xsi:type="dcterms:W3CDTF">2024-07-30T19:55:00Z</dcterms:created>
  <dcterms:modified xsi:type="dcterms:W3CDTF">2024-08-07T21:36:00Z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0x0101005D23F68BBED0054ABF25E8AE529843F4</vt:lpwstr>
  </property>
  <property fmtid="{D5CDD505-2E9C-101B-9397-08002B2CF9AE}" pid="3" name="MediaServiceImageTags">
    <vt:lpwstr/>
  </property>
  <property fmtid="{D5CDD505-2E9C-101B-9397-08002B2CF9AE}" pid="4" name="GrammarlyDocumentId">
    <vt:lpwstr>eeffcdc95aecb66295450c3b78e18254773ec46976a5242f5924ebf65ff9591e</vt:lpwstr>
  </property>
  <property fmtid="{D5CDD505-2E9C-101B-9397-08002B2CF9AE}" pid="5" name="ZOTERO_PREF_1">
    <vt:lpwstr>&lt;data data-version="3" zotero-version="6.0.36"&gt;&lt;session id="asz9PPzV"/&gt;&lt;style id="http://www.zotero.org/styles/chicago-author-date" locale="en-US" hasBibliography="1" bibliographyStyleHasBeenSet="1"/&gt;&lt;prefs&gt;&lt;pref name="fieldType" value="Field"/&gt;&lt;/prefs&gt;&lt;/</vt:lpwstr>
  </property>
  <property fmtid="{D5CDD505-2E9C-101B-9397-08002B2CF9AE}" pid="6" name="ZOTERO_PREF_2">
    <vt:lpwstr>data&gt;</vt:lpwstr>
  </property>
</Properties>
</file>