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2735A" w14:textId="77777777" w:rsidR="0090092C" w:rsidRDefault="0090092C" w:rsidP="0090092C">
      <w:pPr>
        <w:pStyle w:val="ITRCTableTitle"/>
      </w:pPr>
      <w:bookmarkStart w:id="0" w:name="_Toc169717752"/>
      <w:r>
        <w:t>Table 4</w:t>
      </w:r>
      <w:r>
        <w:noBreakHyphen/>
      </w:r>
      <w:r w:rsidRPr="001C48D8">
        <w:t>6. Studies of 6PPD and 6PPD</w:t>
      </w:r>
      <w:r>
        <w:noBreakHyphen/>
        <w:t>q</w:t>
      </w:r>
      <w:r w:rsidRPr="001C48D8">
        <w:t xml:space="preserve"> concentrations in sediment</w:t>
      </w:r>
      <w:bookmarkEnd w:id="0"/>
    </w:p>
    <w:tbl>
      <w:tblPr>
        <w:tblW w:w="0" w:type="auto"/>
        <w:tblLook w:val="04A0" w:firstRow="1" w:lastRow="0" w:firstColumn="1" w:lastColumn="0" w:noHBand="0" w:noVBand="1"/>
      </w:tblPr>
      <w:tblGrid>
        <w:gridCol w:w="2875"/>
        <w:gridCol w:w="9629"/>
        <w:gridCol w:w="4684"/>
        <w:gridCol w:w="1617"/>
        <w:gridCol w:w="2785"/>
      </w:tblGrid>
      <w:tr w:rsidR="0090092C" w:rsidRPr="001C48D8" w14:paraId="39FCC3EA" w14:textId="77777777" w:rsidTr="00916035">
        <w:trPr>
          <w:cantSplit/>
          <w:tblHeader/>
        </w:trPr>
        <w:tc>
          <w:tcPr>
            <w:tcW w:w="2875" w:type="dxa"/>
            <w:tcBorders>
              <w:top w:val="single" w:sz="4" w:space="0" w:color="auto"/>
              <w:left w:val="single" w:sz="4" w:space="0" w:color="auto"/>
              <w:bottom w:val="single" w:sz="4" w:space="0" w:color="auto"/>
              <w:right w:val="single" w:sz="4" w:space="0" w:color="auto"/>
            </w:tcBorders>
            <w:shd w:val="clear" w:color="auto" w:fill="auto"/>
            <w:hideMark/>
          </w:tcPr>
          <w:p w14:paraId="50704A44" w14:textId="77777777" w:rsidR="0090092C" w:rsidRPr="001C48D8" w:rsidRDefault="0090092C" w:rsidP="003B0252">
            <w:pPr>
              <w:pStyle w:val="ITRCTableColumnHeading"/>
            </w:pPr>
            <w:r w:rsidRPr="001C48D8">
              <w:t>Location</w:t>
            </w:r>
          </w:p>
        </w:tc>
        <w:tc>
          <w:tcPr>
            <w:tcW w:w="9629" w:type="dxa"/>
            <w:tcBorders>
              <w:top w:val="single" w:sz="4" w:space="0" w:color="auto"/>
              <w:left w:val="nil"/>
              <w:bottom w:val="single" w:sz="4" w:space="0" w:color="auto"/>
              <w:right w:val="single" w:sz="4" w:space="0" w:color="auto"/>
            </w:tcBorders>
            <w:shd w:val="clear" w:color="auto" w:fill="auto"/>
            <w:hideMark/>
          </w:tcPr>
          <w:p w14:paraId="7EDDF53B" w14:textId="77777777" w:rsidR="0090092C" w:rsidRPr="001C48D8" w:rsidRDefault="0090092C" w:rsidP="003B0252">
            <w:pPr>
              <w:pStyle w:val="ITRCTableColumnHeading"/>
            </w:pPr>
            <w:r w:rsidRPr="001C48D8">
              <w:t>Information</w:t>
            </w:r>
          </w:p>
        </w:tc>
        <w:tc>
          <w:tcPr>
            <w:tcW w:w="4684" w:type="dxa"/>
            <w:tcBorders>
              <w:top w:val="single" w:sz="4" w:space="0" w:color="auto"/>
              <w:left w:val="nil"/>
              <w:bottom w:val="single" w:sz="4" w:space="0" w:color="auto"/>
              <w:right w:val="single" w:sz="4" w:space="0" w:color="auto"/>
            </w:tcBorders>
            <w:shd w:val="clear" w:color="auto" w:fill="auto"/>
            <w:hideMark/>
          </w:tcPr>
          <w:p w14:paraId="2415D32B" w14:textId="77777777" w:rsidR="0090092C" w:rsidRPr="001C48D8" w:rsidRDefault="0090092C" w:rsidP="003B0252">
            <w:pPr>
              <w:pStyle w:val="ITRCTableColumnHeading"/>
            </w:pPr>
            <w:r w:rsidRPr="001C48D8">
              <w:t>Concentration (ng/g)</w:t>
            </w:r>
          </w:p>
        </w:tc>
        <w:tc>
          <w:tcPr>
            <w:tcW w:w="1617" w:type="dxa"/>
            <w:tcBorders>
              <w:top w:val="single" w:sz="4" w:space="0" w:color="auto"/>
              <w:left w:val="nil"/>
              <w:bottom w:val="single" w:sz="4" w:space="0" w:color="auto"/>
              <w:right w:val="single" w:sz="4" w:space="0" w:color="auto"/>
            </w:tcBorders>
            <w:shd w:val="clear" w:color="auto" w:fill="auto"/>
            <w:hideMark/>
          </w:tcPr>
          <w:p w14:paraId="7452E079" w14:textId="77777777" w:rsidR="0090092C" w:rsidRPr="001C48D8" w:rsidRDefault="0090092C" w:rsidP="003B0252">
            <w:pPr>
              <w:pStyle w:val="ITRCTableColumnHeading"/>
            </w:pPr>
            <w:r w:rsidRPr="001C48D8">
              <w:t>Lab Instrumentation</w:t>
            </w:r>
          </w:p>
        </w:tc>
        <w:tc>
          <w:tcPr>
            <w:tcW w:w="2785" w:type="dxa"/>
            <w:tcBorders>
              <w:top w:val="single" w:sz="4" w:space="0" w:color="auto"/>
              <w:left w:val="nil"/>
              <w:bottom w:val="single" w:sz="4" w:space="0" w:color="auto"/>
              <w:right w:val="single" w:sz="4" w:space="0" w:color="auto"/>
            </w:tcBorders>
            <w:shd w:val="clear" w:color="auto" w:fill="auto"/>
            <w:hideMark/>
          </w:tcPr>
          <w:p w14:paraId="2A7A8994" w14:textId="77777777" w:rsidR="0090092C" w:rsidRPr="001C48D8" w:rsidRDefault="0090092C" w:rsidP="003B0252">
            <w:pPr>
              <w:pStyle w:val="ITRCTableColumnHeading"/>
            </w:pPr>
            <w:r w:rsidRPr="001C48D8">
              <w:t>Detection Limit</w:t>
            </w:r>
          </w:p>
        </w:tc>
      </w:tr>
      <w:tr w:rsidR="0090092C" w:rsidRPr="001C48D8" w14:paraId="0F75195C" w14:textId="77777777" w:rsidTr="00916035">
        <w:trPr>
          <w:cantSplit/>
        </w:trPr>
        <w:tc>
          <w:tcPr>
            <w:tcW w:w="2875" w:type="dxa"/>
            <w:tcBorders>
              <w:top w:val="nil"/>
              <w:left w:val="single" w:sz="4" w:space="0" w:color="auto"/>
              <w:bottom w:val="single" w:sz="4" w:space="0" w:color="auto"/>
              <w:right w:val="single" w:sz="4" w:space="0" w:color="auto"/>
            </w:tcBorders>
            <w:shd w:val="clear" w:color="auto" w:fill="auto"/>
            <w:hideMark/>
          </w:tcPr>
          <w:p w14:paraId="24267530" w14:textId="2689C04A" w:rsidR="0090092C" w:rsidRDefault="00000000" w:rsidP="003B0252">
            <w:pPr>
              <w:pStyle w:val="Source"/>
            </w:pPr>
            <w:hyperlink r:id="rId9" w:history="1">
              <w:r w:rsidR="0090092C" w:rsidRPr="003C6801">
                <w:rPr>
                  <w:rStyle w:val="Hyperlink"/>
                </w:rPr>
                <w:t>China [Pearl River Delta, Pearl River Estuary, South China Sea]</w:t>
              </w:r>
            </w:hyperlink>
          </w:p>
          <w:p w14:paraId="30F4B6FC" w14:textId="2F478586" w:rsidR="00CF77D0" w:rsidRPr="001C48D8" w:rsidRDefault="00323A1F" w:rsidP="00C7552A">
            <w:r>
              <w:fldChar w:fldCharType="begin"/>
            </w:r>
            <w:r>
              <w:instrText xml:space="preserve"> ADDIN ZOTERO_ITEM CSL_CITATION {"citationID":"PH6p8rkD","properties":{"formattedCitation":"(Zeng et al. 2023)","plainCitation":"(Zeng et al. 2023)","noteIndex":0},"citationItems":[{"id":1663,"uris":["http://zotero.org/groups/4889498/items/D72HFSIG"],"itemData":{"id":1663,"type":"article-journal","container-title":"Environmental Science &amp; Technology","DOI":"10.1021/acs.est.2c07652","ISSN":"0013-936X, 1520-5851","journalAbbreviation":"Environ. Sci. Technol.","language":"en","page":"acs.est.2c07652","source":"DOI.org (Crossref)","title":"Widespread Occurrence and Transport of &lt;i&gt;p&lt;/i&gt; -Phenylenediamines and Their Quinones in Sediments across Urban Rivers, Estuaries, Coasts, and Deep-Sea Regions","author":[{"family":"Zeng","given":"Lixi"},{"family":"Li","given":"Yi"},{"family":"Sun","given":"Yuxin"},{"family":"Liu","given":"Liang-Ying"},{"family":"Shen","given":"Mingjie"},{"family":"Du","given":"Bibai"}],"issued":{"date-parts":[["2023",1,31]]}},"label":"page"}],"schema":"https://github.com/citation-style-language/schema/raw/master/csl-citation.json"} </w:instrText>
            </w:r>
            <w:r>
              <w:fldChar w:fldCharType="separate"/>
            </w:r>
            <w:r w:rsidRPr="00323A1F">
              <w:rPr>
                <w:sz w:val="20"/>
              </w:rPr>
              <w:t>(Zeng et al. 2023)</w:t>
            </w:r>
            <w:r>
              <w:fldChar w:fldCharType="end"/>
            </w:r>
          </w:p>
        </w:tc>
        <w:tc>
          <w:tcPr>
            <w:tcW w:w="9629" w:type="dxa"/>
            <w:tcBorders>
              <w:top w:val="nil"/>
              <w:left w:val="nil"/>
              <w:bottom w:val="single" w:sz="4" w:space="0" w:color="auto"/>
              <w:right w:val="single" w:sz="4" w:space="0" w:color="auto"/>
            </w:tcBorders>
            <w:shd w:val="clear" w:color="auto" w:fill="auto"/>
            <w:hideMark/>
          </w:tcPr>
          <w:p w14:paraId="371CA642" w14:textId="7EA9C4F8" w:rsidR="0090092C" w:rsidRPr="001C48D8" w:rsidRDefault="0090092C" w:rsidP="003B0252">
            <w:pPr>
              <w:pStyle w:val="ITRCTableText"/>
            </w:pPr>
            <w:r w:rsidRPr="001C48D8">
              <w:t>In 2021, researchers collected 32 samples along the Pearl River Delta, 21 samples in the Pearl River Estuary, 20 samples on the coast of the South China Sea, and 12 samples in the deep-sea regions of the South China Sea.</w:t>
            </w:r>
            <w:r>
              <w:t xml:space="preserve"> </w:t>
            </w:r>
            <w:r w:rsidRPr="001C48D8">
              <w:t xml:space="preserve">These samples were analyzed for a range of p-phenylenediamines and quinone </w:t>
            </w:r>
            <w:r>
              <w:t>transformation products</w:t>
            </w:r>
            <w:r w:rsidRPr="001C48D8">
              <w:t>, including 6PPD and 6PPD</w:t>
            </w:r>
            <w:r>
              <w:noBreakHyphen/>
              <w:t>q</w:t>
            </w:r>
            <w:r w:rsidRPr="001C48D8">
              <w:t>. Both compounds were detected in at least 75% or more of the samples collected, with the highest concentrations found in the Pearl River Delta.</w:t>
            </w:r>
          </w:p>
        </w:tc>
        <w:tc>
          <w:tcPr>
            <w:tcW w:w="4684" w:type="dxa"/>
            <w:tcBorders>
              <w:top w:val="nil"/>
              <w:left w:val="nil"/>
              <w:bottom w:val="single" w:sz="4" w:space="0" w:color="auto"/>
              <w:right w:val="single" w:sz="4" w:space="0" w:color="auto"/>
            </w:tcBorders>
            <w:shd w:val="clear" w:color="auto" w:fill="auto"/>
            <w:hideMark/>
          </w:tcPr>
          <w:p w14:paraId="6122FB1B" w14:textId="77777777" w:rsidR="0090092C" w:rsidRDefault="0090092C" w:rsidP="003B0252">
            <w:pPr>
              <w:pStyle w:val="ITRCTableText"/>
            </w:pPr>
            <w:r w:rsidRPr="001C48D8">
              <w:t>The concentrations of 6PPD and 6PPD</w:t>
            </w:r>
            <w:r>
              <w:noBreakHyphen/>
              <w:t>q</w:t>
            </w:r>
            <w:r w:rsidRPr="001C48D8">
              <w:t xml:space="preserve"> in sediment were found to be [median (range)]:</w:t>
            </w:r>
          </w:p>
          <w:p w14:paraId="16081F71" w14:textId="77777777" w:rsidR="0090092C" w:rsidRDefault="0090092C" w:rsidP="003B0252">
            <w:pPr>
              <w:pStyle w:val="ITRCTableText"/>
            </w:pPr>
            <w:r w:rsidRPr="001C48D8">
              <w:t>6PPD:</w:t>
            </w:r>
            <w:r w:rsidRPr="001C48D8">
              <w:br/>
              <w:t>River sediment: 14.4 (0.585</w:t>
            </w:r>
            <w:r>
              <w:t>–</w:t>
            </w:r>
            <w:r w:rsidRPr="001C48D8">
              <w:t xml:space="preserve">468) </w:t>
            </w:r>
            <w:r w:rsidRPr="001C48D8">
              <w:br/>
              <w:t>Estuary sediment: 3.92 (1.49</w:t>
            </w:r>
            <w:r>
              <w:t>–</w:t>
            </w:r>
            <w:r w:rsidRPr="001C48D8">
              <w:t xml:space="preserve">5.71) </w:t>
            </w:r>
            <w:r w:rsidRPr="001C48D8">
              <w:br/>
              <w:t>Coastal sediment: 1.82 (1.07</w:t>
            </w:r>
            <w:r>
              <w:t>–</w:t>
            </w:r>
            <w:r w:rsidRPr="001C48D8">
              <w:t xml:space="preserve">11.1) </w:t>
            </w:r>
            <w:r w:rsidRPr="001C48D8">
              <w:br/>
              <w:t>Deep</w:t>
            </w:r>
            <w:r>
              <w:t>-</w:t>
            </w:r>
            <w:r w:rsidRPr="001C48D8">
              <w:t>sea sediment: 2.66 (&lt;MDL</w:t>
            </w:r>
            <w:r>
              <w:t>–</w:t>
            </w:r>
            <w:r w:rsidRPr="001C48D8">
              <w:t xml:space="preserve">2.69) </w:t>
            </w:r>
          </w:p>
          <w:p w14:paraId="50AAE35A" w14:textId="77777777" w:rsidR="0090092C" w:rsidRPr="001C48D8" w:rsidRDefault="0090092C" w:rsidP="003B0252">
            <w:pPr>
              <w:pStyle w:val="ITRCTableText"/>
            </w:pPr>
            <w:r w:rsidRPr="001C48D8">
              <w:t>6PPD</w:t>
            </w:r>
            <w:r>
              <w:noBreakHyphen/>
              <w:t>q</w:t>
            </w:r>
            <w:r w:rsidRPr="001C48D8">
              <w:t>:</w:t>
            </w:r>
            <w:r w:rsidRPr="001C48D8">
              <w:br/>
              <w:t>River sediment: 9.03 (1.87</w:t>
            </w:r>
            <w:r>
              <w:t>–</w:t>
            </w:r>
            <w:r w:rsidRPr="001C48D8">
              <w:t xml:space="preserve">18.2) </w:t>
            </w:r>
            <w:r w:rsidRPr="001C48D8">
              <w:br/>
              <w:t>Estuary sediment: 2.00 (&lt;MDL</w:t>
            </w:r>
            <w:r>
              <w:t>–</w:t>
            </w:r>
            <w:r w:rsidRPr="001C48D8">
              <w:t xml:space="preserve">4.88) </w:t>
            </w:r>
            <w:r w:rsidRPr="001C48D8">
              <w:br/>
              <w:t>Coastal sediment: 1.27 (0.431</w:t>
            </w:r>
            <w:r>
              <w:t>–</w:t>
            </w:r>
            <w:r w:rsidRPr="001C48D8">
              <w:t xml:space="preserve">2.98) </w:t>
            </w:r>
            <w:r w:rsidRPr="001C48D8">
              <w:br/>
              <w:t>Deep</w:t>
            </w:r>
            <w:r>
              <w:t>-</w:t>
            </w:r>
            <w:r w:rsidRPr="001C48D8">
              <w:t>sea sediment: 2.71 (&lt;MDL</w:t>
            </w:r>
            <w:r>
              <w:t>–</w:t>
            </w:r>
            <w:r w:rsidRPr="001C48D8">
              <w:t xml:space="preserve">3.02) </w:t>
            </w:r>
          </w:p>
        </w:tc>
        <w:tc>
          <w:tcPr>
            <w:tcW w:w="1617" w:type="dxa"/>
            <w:tcBorders>
              <w:top w:val="nil"/>
              <w:left w:val="nil"/>
              <w:bottom w:val="single" w:sz="4" w:space="0" w:color="auto"/>
              <w:right w:val="single" w:sz="4" w:space="0" w:color="auto"/>
            </w:tcBorders>
            <w:shd w:val="clear" w:color="auto" w:fill="auto"/>
            <w:hideMark/>
          </w:tcPr>
          <w:p w14:paraId="46E0E177" w14:textId="77777777" w:rsidR="0090092C" w:rsidRPr="001C48D8" w:rsidRDefault="0090092C" w:rsidP="003B0252">
            <w:pPr>
              <w:pStyle w:val="ITRCTableText"/>
            </w:pPr>
            <w:r w:rsidRPr="001C48D8">
              <w:t>LC-MS/MS</w:t>
            </w:r>
          </w:p>
        </w:tc>
        <w:tc>
          <w:tcPr>
            <w:tcW w:w="2785" w:type="dxa"/>
            <w:tcBorders>
              <w:top w:val="nil"/>
              <w:left w:val="nil"/>
              <w:bottom w:val="single" w:sz="4" w:space="0" w:color="auto"/>
              <w:right w:val="single" w:sz="4" w:space="0" w:color="auto"/>
            </w:tcBorders>
            <w:shd w:val="clear" w:color="auto" w:fill="auto"/>
            <w:hideMark/>
          </w:tcPr>
          <w:p w14:paraId="3C36700B" w14:textId="77777777" w:rsidR="0090092C" w:rsidRPr="001C48D8" w:rsidRDefault="0090092C" w:rsidP="003B0252">
            <w:pPr>
              <w:pStyle w:val="ITRCTableText"/>
            </w:pPr>
            <w:r w:rsidRPr="001C48D8">
              <w:t>MDL (ng/g):</w:t>
            </w:r>
            <w:r w:rsidRPr="001C48D8">
              <w:br/>
              <w:t>6PPD: 0.015</w:t>
            </w:r>
            <w:r w:rsidRPr="001C48D8">
              <w:br/>
              <w:t>6PPD</w:t>
            </w:r>
            <w:r>
              <w:noBreakHyphen/>
              <w:t>q</w:t>
            </w:r>
            <w:r w:rsidRPr="001C48D8">
              <w:t>: 0.043</w:t>
            </w:r>
          </w:p>
        </w:tc>
      </w:tr>
      <w:tr w:rsidR="0090092C" w:rsidRPr="001C48D8" w14:paraId="05A31EAA" w14:textId="77777777" w:rsidTr="00916035">
        <w:trPr>
          <w:cantSplit/>
        </w:trPr>
        <w:tc>
          <w:tcPr>
            <w:tcW w:w="2875" w:type="dxa"/>
            <w:tcBorders>
              <w:top w:val="nil"/>
              <w:left w:val="single" w:sz="4" w:space="0" w:color="auto"/>
              <w:bottom w:val="single" w:sz="4" w:space="0" w:color="auto"/>
              <w:right w:val="single" w:sz="4" w:space="0" w:color="auto"/>
            </w:tcBorders>
            <w:shd w:val="clear" w:color="auto" w:fill="auto"/>
            <w:hideMark/>
          </w:tcPr>
          <w:p w14:paraId="5524D1EC" w14:textId="276FF500" w:rsidR="0090092C" w:rsidRDefault="00000000" w:rsidP="003B0252">
            <w:pPr>
              <w:pStyle w:val="Source"/>
            </w:pPr>
            <w:hyperlink r:id="rId10" w:history="1">
              <w:r w:rsidR="0090092C" w:rsidRPr="001C48D8">
                <w:t>China [Jiaojiang River]</w:t>
              </w:r>
            </w:hyperlink>
          </w:p>
          <w:p w14:paraId="1A5A9D37" w14:textId="6C00303D" w:rsidR="009C3901" w:rsidRPr="001C48D8" w:rsidRDefault="009C3901" w:rsidP="00AF4718">
            <w:r>
              <w:fldChar w:fldCharType="begin"/>
            </w:r>
            <w:r w:rsidR="0042577F">
              <w:instrText xml:space="preserve"> ADDIN ZOTERO_ITEM CSL_CITATION {"citationID":"zEAVbhZr","properties":{"formattedCitation":"(Zhu et al. 2024)","plainCitation":"(Zhu et al. 2024)","noteIndex":0},"citationItems":[{"id":1777,"uris":["http://zotero.org/groups/4911552/items/3FETIQAB"],"itemData":{"id":1777,"type":"article-journal","abstract":"p-Phenylenediamine antioxidants (PPDs) and PPDs-derived quinones (PPDQs) may pose a threat to the river ecosystem. However, the knowledge on the occurrence and environmental behaviors of PPDs and PPDQs in the natural river environment remains unknown. In this study, we collected paired water (n = 30) and sediment samples (n = 30) from Jiaojiang River, China and analyzed them for nine PPDs and seven PPDQs. Our results showed that target PPDs and PPDQs are frequently detected in water samples, with the dominance of N-(1,3-dimethylbutyl)-N′-phenyl-p-phenylenediamine (6PPD; mean 12 ng/L, range 4.0–72 ng/L) and 6PPD-derived quinone (6PPDQ; 7.0 ng/L, &lt;LOD–21 ng/L), respectively. In sediment samples, detected PPDs and PPDQs were also dominated by 6PPD (mean 31 ng/g, range 1.6–172 ng/g) and 6PPDQ (14 ng/g, &lt;LOD–46 ng/g), respectively. This study first reports the field-based log-transformed sediment-water coefficients (log Koc) for PPDs and PPDQs. Among PPDs, N, N′-diphenyl-p-phenylenediamine (4.0 ± 0.55) had the highest mean log Koc value, followed by N-isopropyl-N′-phenyl-p-phenylenediamine (3.6 ± 0.26). The mean log Koc values of detected PPDQs ranged from 2.0 ± 0.49 to 3.3 ± 0.44. To our knowledge, this is the first study comprehensively investigating the occurrence of PPDs and PPDQs in paired freshwater and sediment. Results of this study provide new insights into their occurrence, spatial distribution, and behaviors in the freshwater environment.","container-title":"Science of the Total Environment","DOI":"10.1016/j.scitotenv.2024.170046","ISSN":"0048-9697","journalAbbreviation":"Science of the Total Environment","page":"170046","source":"ScienceDirect","title":"Occurrence and partitioning of &lt;i&gt;p&lt;/i&gt;-phenylenediamine antioxidants and their quinone derivatives in water and sediment","volume":"914","author":[{"family":"Zhu","given":"Jianqiang"},{"family":"Guo","given":"Ruyue"},{"family":"Ren","given":"Fangfang"},{"family":"Jiang","given":"Shengtao"},{"family":"Jin","given":"Hangbiao"}],"issued":{"date-parts":[["2024",3,1]]}},"label":"page"}],"schema":"https://github.com/citation-style-language/schema/raw/master/csl-citation.json"} </w:instrText>
            </w:r>
            <w:r>
              <w:fldChar w:fldCharType="separate"/>
            </w:r>
            <w:r w:rsidR="0042577F" w:rsidRPr="0042577F">
              <w:rPr>
                <w:sz w:val="20"/>
              </w:rPr>
              <w:t>(Zhu et al. 2024)</w:t>
            </w:r>
            <w:r>
              <w:fldChar w:fldCharType="end"/>
            </w:r>
          </w:p>
        </w:tc>
        <w:tc>
          <w:tcPr>
            <w:tcW w:w="9629" w:type="dxa"/>
            <w:tcBorders>
              <w:top w:val="nil"/>
              <w:left w:val="nil"/>
              <w:bottom w:val="single" w:sz="4" w:space="0" w:color="auto"/>
              <w:right w:val="single" w:sz="4" w:space="0" w:color="auto"/>
            </w:tcBorders>
            <w:shd w:val="clear" w:color="auto" w:fill="auto"/>
            <w:hideMark/>
          </w:tcPr>
          <w:p w14:paraId="214E02B3" w14:textId="63DFB30A" w:rsidR="0090092C" w:rsidRPr="001C48D8" w:rsidRDefault="0090092C" w:rsidP="003B0252">
            <w:pPr>
              <w:pStyle w:val="ITRCTableText"/>
            </w:pPr>
            <w:r w:rsidRPr="001C48D8">
              <w:t>In October 2022, researchers collected paired surface</w:t>
            </w:r>
            <w:r>
              <w:t>-</w:t>
            </w:r>
            <w:r w:rsidRPr="001C48D8">
              <w:t>water (n=30) and sediment samples (n=30) from the Jiaojiang River in the southeastern region of China. The Jiaojiang River is the largest river in Taizhou City. Sediment samples (n=3) were collected from the top 5</w:t>
            </w:r>
            <w:r>
              <w:t> cm</w:t>
            </w:r>
            <w:r w:rsidRPr="001C48D8">
              <w:t xml:space="preserve"> at each location and composited. Samples were extracted and tested for 9</w:t>
            </w:r>
            <w:r w:rsidR="00C3781D">
              <w:t> </w:t>
            </w:r>
            <w:r w:rsidRPr="001C48D8">
              <w:t>PPD and 7</w:t>
            </w:r>
            <w:r w:rsidR="00C3781D">
              <w:t> </w:t>
            </w:r>
            <w:r w:rsidRPr="001C48D8">
              <w:t>PPD</w:t>
            </w:r>
            <w:r w:rsidR="00C3781D">
              <w:t>-q</w:t>
            </w:r>
            <w:r w:rsidRPr="001C48D8">
              <w:t>. In sediment, 6PPD and 6PPD</w:t>
            </w:r>
            <w:r>
              <w:noBreakHyphen/>
              <w:t>q</w:t>
            </w:r>
            <w:r w:rsidRPr="001C48D8">
              <w:t xml:space="preserve"> were more frequently detected than the other PPD and PPD</w:t>
            </w:r>
            <w:r>
              <w:noBreakHyphen/>
              <w:t>q</w:t>
            </w:r>
            <w:r w:rsidRPr="001C48D8">
              <w:t xml:space="preserve"> congeners analyzed, with a detection frequency of 100% and 80%, respectively. Concentrations of 6PPD</w:t>
            </w:r>
            <w:r>
              <w:noBreakHyphen/>
              <w:t>q</w:t>
            </w:r>
            <w:r w:rsidRPr="001C48D8">
              <w:t xml:space="preserve"> in sediment were significantly correlated with 6PPD in sediment (rs</w:t>
            </w:r>
            <w:r>
              <w:t>=</w:t>
            </w:r>
            <w:r w:rsidRPr="001C48D8">
              <w:t>0.77; p</w:t>
            </w:r>
            <w:r>
              <w:t> </w:t>
            </w:r>
            <w:r w:rsidRPr="001C48D8">
              <w:t>&lt;</w:t>
            </w:r>
            <w:r>
              <w:t> </w:t>
            </w:r>
            <w:r w:rsidRPr="001C48D8">
              <w:t>0.01)</w:t>
            </w:r>
            <w:r>
              <w:t>.</w:t>
            </w:r>
          </w:p>
        </w:tc>
        <w:tc>
          <w:tcPr>
            <w:tcW w:w="4684" w:type="dxa"/>
            <w:tcBorders>
              <w:top w:val="nil"/>
              <w:left w:val="nil"/>
              <w:bottom w:val="single" w:sz="4" w:space="0" w:color="auto"/>
              <w:right w:val="single" w:sz="4" w:space="0" w:color="auto"/>
            </w:tcBorders>
            <w:shd w:val="clear" w:color="auto" w:fill="auto"/>
            <w:hideMark/>
          </w:tcPr>
          <w:p w14:paraId="48CA5DF3" w14:textId="77777777" w:rsidR="0090092C" w:rsidRDefault="0090092C" w:rsidP="003B0252">
            <w:pPr>
              <w:pStyle w:val="ITRCTableText"/>
            </w:pPr>
            <w:r w:rsidRPr="001C48D8">
              <w:t>The concentrations of 6PPD and 6PPD</w:t>
            </w:r>
            <w:r>
              <w:noBreakHyphen/>
              <w:t>q</w:t>
            </w:r>
            <w:r w:rsidRPr="001C48D8">
              <w:t xml:space="preserve"> in sediment were found to be [median (range)]:</w:t>
            </w:r>
          </w:p>
          <w:p w14:paraId="168313B7" w14:textId="77777777" w:rsidR="0090092C" w:rsidRDefault="0090092C" w:rsidP="003B0252">
            <w:pPr>
              <w:pStyle w:val="ITRCTableText"/>
            </w:pPr>
            <w:r w:rsidRPr="001C48D8">
              <w:t>6PPD:</w:t>
            </w:r>
            <w:r w:rsidRPr="001C48D8">
              <w:br/>
              <w:t>25 (1.6</w:t>
            </w:r>
            <w:r>
              <w:t>–</w:t>
            </w:r>
            <w:r w:rsidRPr="001C48D8">
              <w:t>172)</w:t>
            </w:r>
          </w:p>
          <w:p w14:paraId="3D97FE31" w14:textId="77777777" w:rsidR="0090092C" w:rsidRPr="001C48D8" w:rsidRDefault="0090092C" w:rsidP="003B0252">
            <w:pPr>
              <w:pStyle w:val="ITRCTableText"/>
            </w:pPr>
            <w:r w:rsidRPr="001C48D8">
              <w:t>6PPD</w:t>
            </w:r>
            <w:r>
              <w:noBreakHyphen/>
              <w:t>q</w:t>
            </w:r>
            <w:r w:rsidRPr="001C48D8">
              <w:t>:</w:t>
            </w:r>
            <w:r w:rsidRPr="001C48D8">
              <w:br/>
              <w:t>19 (&lt;LOD</w:t>
            </w:r>
            <w:r>
              <w:t>–</w:t>
            </w:r>
            <w:r w:rsidRPr="001C48D8">
              <w:t>46)</w:t>
            </w:r>
          </w:p>
        </w:tc>
        <w:tc>
          <w:tcPr>
            <w:tcW w:w="1617" w:type="dxa"/>
            <w:tcBorders>
              <w:top w:val="nil"/>
              <w:left w:val="nil"/>
              <w:bottom w:val="single" w:sz="4" w:space="0" w:color="auto"/>
              <w:right w:val="single" w:sz="4" w:space="0" w:color="auto"/>
            </w:tcBorders>
            <w:shd w:val="clear" w:color="auto" w:fill="auto"/>
            <w:hideMark/>
          </w:tcPr>
          <w:p w14:paraId="0AFF65CF" w14:textId="77777777" w:rsidR="0090092C" w:rsidRPr="001C48D8" w:rsidRDefault="0090092C" w:rsidP="003B0252">
            <w:pPr>
              <w:pStyle w:val="ITRCTableText"/>
            </w:pPr>
            <w:r w:rsidRPr="001C48D8">
              <w:t>LC-MS/MS</w:t>
            </w:r>
          </w:p>
        </w:tc>
        <w:tc>
          <w:tcPr>
            <w:tcW w:w="2785" w:type="dxa"/>
            <w:tcBorders>
              <w:top w:val="nil"/>
              <w:left w:val="nil"/>
              <w:bottom w:val="single" w:sz="4" w:space="0" w:color="auto"/>
              <w:right w:val="single" w:sz="4" w:space="0" w:color="auto"/>
            </w:tcBorders>
            <w:shd w:val="clear" w:color="auto" w:fill="auto"/>
            <w:hideMark/>
          </w:tcPr>
          <w:p w14:paraId="02F17F09" w14:textId="77777777" w:rsidR="0090092C" w:rsidRPr="001C48D8" w:rsidRDefault="0090092C" w:rsidP="003B0252">
            <w:pPr>
              <w:pStyle w:val="ITRCTableText"/>
            </w:pPr>
            <w:r w:rsidRPr="001C48D8">
              <w:t>MDL (ng/g):</w:t>
            </w:r>
            <w:r w:rsidRPr="001C48D8">
              <w:br/>
              <w:t xml:space="preserve">6PPD: 0.075 </w:t>
            </w:r>
            <w:r w:rsidRPr="001C48D8">
              <w:br/>
              <w:t>6PPD</w:t>
            </w:r>
            <w:r>
              <w:noBreakHyphen/>
              <w:t>q</w:t>
            </w:r>
            <w:r w:rsidRPr="001C48D8">
              <w:t>: 0.039</w:t>
            </w:r>
          </w:p>
        </w:tc>
      </w:tr>
      <w:tr w:rsidR="0090092C" w:rsidRPr="001C48D8" w14:paraId="541F4C0A" w14:textId="77777777" w:rsidTr="00916035">
        <w:trPr>
          <w:cantSplit/>
        </w:trPr>
        <w:tc>
          <w:tcPr>
            <w:tcW w:w="2875" w:type="dxa"/>
            <w:tcBorders>
              <w:top w:val="nil"/>
              <w:left w:val="single" w:sz="4" w:space="0" w:color="auto"/>
              <w:bottom w:val="single" w:sz="4" w:space="0" w:color="auto"/>
              <w:right w:val="single" w:sz="4" w:space="0" w:color="auto"/>
            </w:tcBorders>
            <w:shd w:val="clear" w:color="auto" w:fill="auto"/>
            <w:hideMark/>
          </w:tcPr>
          <w:p w14:paraId="29CE9E3E" w14:textId="00040CEC" w:rsidR="0090092C" w:rsidRDefault="00000000" w:rsidP="003B0252">
            <w:pPr>
              <w:pStyle w:val="Source"/>
            </w:pPr>
            <w:hyperlink r:id="rId11" w:history="1">
              <w:r w:rsidR="0090092C" w:rsidRPr="00C1732C">
                <w:rPr>
                  <w:rStyle w:val="Hyperlink"/>
                </w:rPr>
                <w:t>United States and Canada</w:t>
              </w:r>
            </w:hyperlink>
            <w:r w:rsidR="0090092C" w:rsidRPr="001C48D8">
              <w:t xml:space="preserve"> </w:t>
            </w:r>
          </w:p>
          <w:p w14:paraId="5DDC218C" w14:textId="514F3CA7" w:rsidR="00AF4718" w:rsidRPr="001C48D8" w:rsidRDefault="00AF4718" w:rsidP="00400151">
            <w:r>
              <w:fldChar w:fldCharType="begin"/>
            </w:r>
            <w:r>
              <w:instrText xml:space="preserve"> ADDIN ZOTERO_ITEM CSL_CITATION {"citationID":"x8ThzeqK","properties":{"formattedCitation":"(Wu, Venier, and Hites 2020)","plainCitation":"(Wu, Venier, and Hites 2020)","noteIndex":0},"citationItems":[{"id":1097,"uris":["http://zotero.org/groups/4911552/items/F7XN9GAC"],"itemData":{"id":1097,"type":"article-journal","abstract":"The present study provides a comprehensive investigation of three suites of commonly used synthetic additives: phenolic and amino antioxidants and ultraviolet ﬁlters. The concentrations of 47 such compounds and their transformation products were measured in 20 atmospheric particle samples collected in Chicago, in 21 Canadian e-waste dust samples, in 32 Canadian and United States’ residential dust samples, and in 10 sediment samples collected from the Chicago Sanitary and Ship Canal. Despite their large production volumes in the United States, environmental data on antioxidants and UV ﬁlters in North America is limited. These compounds were detected in all the samples, indicating their ubiquitous distribution in the North American environment. The most prevalent compounds were 2,6di-t-butyl-p-benzoquinone, diphenylamine, 4,4′-di-t-octyl diphenylamine, 2,4-dihydroxybenzophenone, and 2-hydroxy-4-methoxybenzophenone. The e-waste dust contained signiﬁcantly greater total concentrations of these compounds than the Canadian residential dust, while intermediate levels were detected in the United States residential dust. The sediment samples showed relatively high levels of N,N′-diphenylbenzidine, the source of which is unclear, and some benzotriazole UV ﬁlters. Daily intake rates by dust ingestion for these compounds ranged from 1−10 ng/(kg·day) for adults to 10−100 ng/(kg·day) for toddlers. Due to the wide distribution of these compounds in both the ambient and built environments, future research on their potential toxic eﬀects on people and ecosystems is important.","container-title":"Environmental Science &amp; Technology","DOI":"10.1021/acs.est.0c04114","ISSN":"0013-936X, 1520-5851","issue":"15","language":"en","page":"9345-9355","source":"Crossref","title":"Broad exposure of the North American environment to phenolic and amino antioxidants and to ultraviolet filters","volume":"54","author":[{"family":"Wu","given":"Yan"},{"family":"Venier","given":"Marta"},{"family":"Hites","given":"Ronald A."}],"issued":{"date-parts":[["2020",8,4]]}}}],"schema":"https://github.com/citation-style-language/schema/raw/master/csl-citation.json"} </w:instrText>
            </w:r>
            <w:r>
              <w:fldChar w:fldCharType="separate"/>
            </w:r>
            <w:r w:rsidRPr="00AF4718">
              <w:rPr>
                <w:sz w:val="20"/>
              </w:rPr>
              <w:t>(Wu, Venier, and Hites 2020)</w:t>
            </w:r>
            <w:r>
              <w:fldChar w:fldCharType="end"/>
            </w:r>
          </w:p>
        </w:tc>
        <w:tc>
          <w:tcPr>
            <w:tcW w:w="9629" w:type="dxa"/>
            <w:tcBorders>
              <w:top w:val="nil"/>
              <w:left w:val="nil"/>
              <w:bottom w:val="single" w:sz="4" w:space="0" w:color="auto"/>
              <w:right w:val="single" w:sz="4" w:space="0" w:color="auto"/>
            </w:tcBorders>
            <w:shd w:val="clear" w:color="auto" w:fill="auto"/>
            <w:hideMark/>
          </w:tcPr>
          <w:p w14:paraId="60FFD4C2" w14:textId="77777777" w:rsidR="0090092C" w:rsidRPr="001C48D8" w:rsidRDefault="0090092C" w:rsidP="003B0252">
            <w:pPr>
              <w:pStyle w:val="ITRCTableText"/>
            </w:pPr>
            <w:r w:rsidRPr="001C48D8">
              <w:t>In 2016, researchers collected 21 e-waste dust samples in an e-waste dismantling facility in Ontario, Canada. Residential samples were collected in Ontario, Canada</w:t>
            </w:r>
            <w:r>
              <w:t>,</w:t>
            </w:r>
            <w:r w:rsidRPr="001C48D8">
              <w:t xml:space="preserve"> in 2015 (n</w:t>
            </w:r>
            <w:r>
              <w:t>=</w:t>
            </w:r>
            <w:r w:rsidRPr="001C48D8">
              <w:t>20) and in Indiana, United States</w:t>
            </w:r>
            <w:r>
              <w:t>,</w:t>
            </w:r>
            <w:r w:rsidRPr="001C48D8">
              <w:t xml:space="preserve"> in 2013 (n</w:t>
            </w:r>
            <w:r>
              <w:t>=</w:t>
            </w:r>
            <w:r w:rsidRPr="001C48D8">
              <w:t>12). In 2013, 10 sediment samples were collected in the Chicago Sanitary and Ship Canal. From 2018 to 2019, 20 air samples were collected in Chicago. Samples were tested for various antioxidants and ultraviolet filters, including 6PPD. 6PPD was detected in 100% of the e-waste dust samples, and in 70</w:t>
            </w:r>
            <w:r>
              <w:t>%–</w:t>
            </w:r>
            <w:r w:rsidRPr="001C48D8">
              <w:t>75% of all other sampled media.</w:t>
            </w:r>
          </w:p>
        </w:tc>
        <w:tc>
          <w:tcPr>
            <w:tcW w:w="4684" w:type="dxa"/>
            <w:tcBorders>
              <w:top w:val="nil"/>
              <w:left w:val="nil"/>
              <w:bottom w:val="single" w:sz="4" w:space="0" w:color="auto"/>
              <w:right w:val="single" w:sz="4" w:space="0" w:color="auto"/>
            </w:tcBorders>
            <w:shd w:val="clear" w:color="auto" w:fill="auto"/>
            <w:hideMark/>
          </w:tcPr>
          <w:p w14:paraId="51921062" w14:textId="77777777" w:rsidR="0090092C" w:rsidRPr="001C48D8" w:rsidRDefault="0090092C" w:rsidP="003B0252">
            <w:pPr>
              <w:pStyle w:val="ITRCTableText"/>
            </w:pPr>
          </w:p>
        </w:tc>
        <w:tc>
          <w:tcPr>
            <w:tcW w:w="1617" w:type="dxa"/>
            <w:tcBorders>
              <w:top w:val="nil"/>
              <w:left w:val="nil"/>
              <w:bottom w:val="single" w:sz="4" w:space="0" w:color="auto"/>
              <w:right w:val="single" w:sz="4" w:space="0" w:color="auto"/>
            </w:tcBorders>
            <w:shd w:val="clear" w:color="auto" w:fill="auto"/>
            <w:hideMark/>
          </w:tcPr>
          <w:p w14:paraId="6B8B6DBE" w14:textId="77777777" w:rsidR="0090092C" w:rsidRPr="001C48D8" w:rsidRDefault="0090092C" w:rsidP="003B0252">
            <w:pPr>
              <w:pStyle w:val="ITRCTableText"/>
            </w:pPr>
            <w:r w:rsidRPr="001C48D8">
              <w:t>LC-MS/MS</w:t>
            </w:r>
          </w:p>
        </w:tc>
        <w:tc>
          <w:tcPr>
            <w:tcW w:w="2785" w:type="dxa"/>
            <w:tcBorders>
              <w:top w:val="nil"/>
              <w:left w:val="nil"/>
              <w:bottom w:val="single" w:sz="4" w:space="0" w:color="auto"/>
              <w:right w:val="single" w:sz="4" w:space="0" w:color="auto"/>
            </w:tcBorders>
            <w:shd w:val="clear" w:color="auto" w:fill="auto"/>
            <w:hideMark/>
          </w:tcPr>
          <w:p w14:paraId="5EFE12AC" w14:textId="77777777" w:rsidR="0090092C" w:rsidRPr="001C48D8" w:rsidRDefault="0090092C" w:rsidP="003B0252">
            <w:pPr>
              <w:pStyle w:val="ITRCTableText"/>
              <w:rPr>
                <w:color w:val="000000"/>
              </w:rPr>
            </w:pPr>
            <w:r w:rsidRPr="000D58E6">
              <w:t>MDL:</w:t>
            </w:r>
            <w:r w:rsidRPr="000D58E6">
              <w:br/>
              <w:t>Air: 0.02 pg/m</w:t>
            </w:r>
            <w:r w:rsidRPr="000D58E6">
              <w:rPr>
                <w:vertAlign w:val="superscript"/>
              </w:rPr>
              <w:t>3</w:t>
            </w:r>
            <w:r w:rsidRPr="000D58E6">
              <w:br/>
              <w:t>Dust and sediment: 0.06</w:t>
            </w:r>
            <w:r>
              <w:t> ng</w:t>
            </w:r>
            <w:r w:rsidRPr="000D58E6">
              <w:t>/g</w:t>
            </w:r>
          </w:p>
        </w:tc>
      </w:tr>
    </w:tbl>
    <w:p w14:paraId="4FB509A0" w14:textId="1FB11CDA" w:rsidR="0090092C" w:rsidRDefault="0090092C" w:rsidP="0090092C">
      <w:pPr>
        <w:pStyle w:val="ITRCTableNote"/>
      </w:pPr>
      <w:r w:rsidRPr="003B0252">
        <w:t>Notes: LC-MS/MS</w:t>
      </w:r>
      <w:r>
        <w:t>=</w:t>
      </w:r>
      <w:r w:rsidRPr="003B0252">
        <w:t>liquid chromatography / tandem mass spectrometry, LOD=limit of detection, MDL=method detection limit, ng/g=nanogram per gram, PPD=para-phenylenediamines, PPD-q=para-phenylenediamines-quinone</w:t>
      </w:r>
      <w:r w:rsidR="00A5075D">
        <w:t>s</w:t>
      </w:r>
      <w:r w:rsidRPr="003B0252">
        <w:t xml:space="preserve"> </w:t>
      </w:r>
    </w:p>
    <w:p w14:paraId="63E1B9D2" w14:textId="7134032E" w:rsidR="009D00A0" w:rsidRPr="009D00A0" w:rsidRDefault="009D00A0" w:rsidP="009F5EE7">
      <w:pPr>
        <w:pStyle w:val="Bibliography"/>
        <w:rPr>
          <w:b/>
          <w:bCs/>
        </w:rPr>
      </w:pPr>
      <w:r w:rsidRPr="009D00A0">
        <w:rPr>
          <w:b/>
          <w:bCs/>
        </w:rPr>
        <w:t>References</w:t>
      </w:r>
    </w:p>
    <w:p w14:paraId="0B7BB7FE" w14:textId="77777777" w:rsidR="00400151" w:rsidRPr="00400151" w:rsidRDefault="00400151" w:rsidP="008E4C02">
      <w:pPr>
        <w:pStyle w:val="Bibliography"/>
        <w:ind w:left="907" w:hanging="907"/>
      </w:pPr>
      <w:r>
        <w:fldChar w:fldCharType="begin"/>
      </w:r>
      <w:r>
        <w:instrText xml:space="preserve"> ADDIN ZOTERO_BIBL {"uncited":[],"omitted":[],"custom":[]} CSL_BIBLIOGRAPHY </w:instrText>
      </w:r>
      <w:r>
        <w:fldChar w:fldCharType="separate"/>
      </w:r>
      <w:r w:rsidRPr="00400151">
        <w:t xml:space="preserve">Wu, Yan, Marta Venier, and Ronald A. Hites. 2020. “Broad Exposure of the North American Environment to Phenolic and Amino Antioxidants and to Ultraviolet Filters.” </w:t>
      </w:r>
      <w:r w:rsidRPr="00400151">
        <w:rPr>
          <w:i/>
          <w:iCs/>
        </w:rPr>
        <w:t>Environmental Science &amp; Technology</w:t>
      </w:r>
      <w:r w:rsidRPr="00400151">
        <w:t xml:space="preserve"> 54 (15): 9345–55. https://doi.org/10.1021/acs.est.0c04114.</w:t>
      </w:r>
    </w:p>
    <w:p w14:paraId="244E3190" w14:textId="77777777" w:rsidR="00400151" w:rsidRPr="00400151" w:rsidRDefault="00400151" w:rsidP="00C95201">
      <w:pPr>
        <w:pStyle w:val="Bibliography"/>
        <w:ind w:left="900" w:hanging="900"/>
      </w:pPr>
      <w:r w:rsidRPr="00400151">
        <w:t xml:space="preserve">Zeng, Lixi, Yi Li, Yuxin Sun, Liang-Ying Liu, Mingjie Shen, and Bibai Du. 2023. “Widespread Occurrence and Transport of </w:t>
      </w:r>
      <w:r w:rsidRPr="00400151">
        <w:rPr>
          <w:i/>
          <w:iCs/>
        </w:rPr>
        <w:t>p</w:t>
      </w:r>
      <w:r w:rsidRPr="00400151">
        <w:t xml:space="preserve"> -Phenylenediamines and Their Quinones in Sediments across Urban Rivers, Estuaries, Coasts, and Deep-Sea Regions.” </w:t>
      </w:r>
      <w:r w:rsidRPr="00400151">
        <w:rPr>
          <w:i/>
          <w:iCs/>
        </w:rPr>
        <w:t>Environmental Science &amp; Technology</w:t>
      </w:r>
      <w:r w:rsidRPr="00400151">
        <w:t>, January, acs.est.2c07652. https://doi.org/10.1021/acs.est.2c07652.</w:t>
      </w:r>
    </w:p>
    <w:p w14:paraId="66D0342E" w14:textId="77777777" w:rsidR="00400151" w:rsidRPr="00400151" w:rsidRDefault="00400151" w:rsidP="00C95201">
      <w:pPr>
        <w:pStyle w:val="Bibliography"/>
        <w:ind w:left="900" w:hanging="900"/>
      </w:pPr>
      <w:r w:rsidRPr="00400151">
        <w:t xml:space="preserve">Zhu, Jianqiang, Ruyue Guo, Fangfang Ren, Shengtao Jiang, and Hangbiao Jin. 2024. “Occurrence and Partitioning of </w:t>
      </w:r>
      <w:r w:rsidRPr="00400151">
        <w:rPr>
          <w:i/>
          <w:iCs/>
        </w:rPr>
        <w:t>p</w:t>
      </w:r>
      <w:r w:rsidRPr="00400151">
        <w:t xml:space="preserve">-Phenylenediamine Antioxidants and Their Quinone Derivatives in Water and Sediment.” </w:t>
      </w:r>
      <w:r w:rsidRPr="00400151">
        <w:rPr>
          <w:i/>
          <w:iCs/>
        </w:rPr>
        <w:t>Science of the Total Environment</w:t>
      </w:r>
      <w:r w:rsidRPr="00400151">
        <w:t xml:space="preserve"> 914 (March):170046. https://doi.org/10.1016/j.scitotenv.2024.170046.</w:t>
      </w:r>
    </w:p>
    <w:p w14:paraId="0C35CFD8" w14:textId="68E0B881" w:rsidR="00B13334" w:rsidRPr="0090092C" w:rsidRDefault="00400151" w:rsidP="0090092C">
      <w:r>
        <w:fldChar w:fldCharType="end"/>
      </w:r>
    </w:p>
    <w:sectPr w:rsidR="00B13334" w:rsidRPr="0090092C" w:rsidSect="00A51CC8">
      <w:headerReference w:type="default" r:id="rId12"/>
      <w:footerReference w:type="default" r:id="rId13"/>
      <w:pgSz w:w="24480" w:h="15840" w:orient="landscape" w:code="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D65FE" w14:textId="77777777" w:rsidR="00B27BB9" w:rsidRDefault="00B27BB9" w:rsidP="00A51CC8">
      <w:pPr>
        <w:spacing w:after="0"/>
      </w:pPr>
      <w:r>
        <w:separator/>
      </w:r>
    </w:p>
  </w:endnote>
  <w:endnote w:type="continuationSeparator" w:id="0">
    <w:p w14:paraId="36C88D0E" w14:textId="77777777" w:rsidR="00B27BB9" w:rsidRDefault="00B27BB9" w:rsidP="00A51C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20479" w14:textId="701772AC" w:rsidR="00A51CC8" w:rsidRPr="00FB57F3" w:rsidRDefault="00FB57F3" w:rsidP="00FB57F3">
    <w:pPr>
      <w:jc w:val="center"/>
    </w:pPr>
    <w:r>
      <w:rPr>
        <w:rStyle w:val="PageNumber"/>
        <w:rFonts w:eastAsiaTheme="majorEastAsia"/>
      </w:rPr>
      <w:t xml:space="preserve">Page </w:t>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rPr>
      <w:t>1</w:t>
    </w:r>
    <w:r>
      <w:rPr>
        <w:rStyle w:val="PageNumber"/>
        <w:rFonts w:eastAsiaTheme="majorEastAsia"/>
      </w:rPr>
      <w:fldChar w:fldCharType="end"/>
    </w:r>
    <w:r>
      <w:rPr>
        <w:rStyle w:val="PageNumber"/>
        <w:rFonts w:eastAsiaTheme="majorEastAsia"/>
      </w:rPr>
      <w:t xml:space="preserve"> of </w:t>
    </w:r>
    <w:r>
      <w:rPr>
        <w:rStyle w:val="PageNumber"/>
        <w:rFonts w:eastAsiaTheme="majorEastAsia"/>
      </w:rPr>
      <w:fldChar w:fldCharType="begin"/>
    </w:r>
    <w:r>
      <w:rPr>
        <w:rStyle w:val="PageNumber"/>
        <w:rFonts w:eastAsiaTheme="majorEastAsia"/>
      </w:rPr>
      <w:instrText xml:space="preserve"> DOCPROPERTY  Pages  \* MERGEFORMAT </w:instrText>
    </w:r>
    <w:r>
      <w:rPr>
        <w:rStyle w:val="PageNumber"/>
        <w:rFonts w:eastAsiaTheme="majorEastAsia"/>
      </w:rPr>
      <w:fldChar w:fldCharType="separate"/>
    </w:r>
    <w:r w:rsidR="004D11C8">
      <w:rPr>
        <w:rStyle w:val="PageNumber"/>
        <w:rFonts w:eastAsiaTheme="majorEastAsia"/>
      </w:rPr>
      <w:t>1</w:t>
    </w:r>
    <w:r>
      <w:rPr>
        <w:rStyle w:val="PageNumber"/>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81A6D" w14:textId="77777777" w:rsidR="00B27BB9" w:rsidRDefault="00B27BB9" w:rsidP="00A51CC8">
      <w:pPr>
        <w:spacing w:after="0"/>
      </w:pPr>
      <w:r>
        <w:separator/>
      </w:r>
    </w:p>
  </w:footnote>
  <w:footnote w:type="continuationSeparator" w:id="0">
    <w:p w14:paraId="3EE7E9B9" w14:textId="77777777" w:rsidR="00B27BB9" w:rsidRDefault="00B27BB9" w:rsidP="00A51C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0422F" w14:textId="77777777" w:rsidR="001048DE" w:rsidRPr="001048DE" w:rsidRDefault="001048DE" w:rsidP="001048DE">
    <w:pPr>
      <w:pStyle w:val="Header"/>
      <w:tabs>
        <w:tab w:val="clear" w:pos="9360"/>
        <w:tab w:val="right" w:pos="21600"/>
      </w:tabs>
    </w:pPr>
    <w:r w:rsidRPr="001048DE">
      <w:t xml:space="preserve">ITRC Tire Anti-Degradants (6PPD) Team </w:t>
    </w:r>
    <w:r w:rsidRPr="001048DE">
      <w:tab/>
    </w:r>
    <w:r w:rsidRPr="001048DE">
      <w:tab/>
      <w:t>September 2024</w:t>
    </w:r>
  </w:p>
  <w:p w14:paraId="71F718A2" w14:textId="77777777" w:rsidR="001048DE" w:rsidRPr="001048DE" w:rsidRDefault="001048DE" w:rsidP="001048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C8"/>
    <w:rsid w:val="000847AF"/>
    <w:rsid w:val="000C044F"/>
    <w:rsid w:val="001048DE"/>
    <w:rsid w:val="001C1BEC"/>
    <w:rsid w:val="0020120B"/>
    <w:rsid w:val="002C369F"/>
    <w:rsid w:val="002C3F44"/>
    <w:rsid w:val="00323A1F"/>
    <w:rsid w:val="00335974"/>
    <w:rsid w:val="003C6801"/>
    <w:rsid w:val="003D0134"/>
    <w:rsid w:val="00400151"/>
    <w:rsid w:val="00424D06"/>
    <w:rsid w:val="0042577F"/>
    <w:rsid w:val="00442746"/>
    <w:rsid w:val="004D11C8"/>
    <w:rsid w:val="004D5FE4"/>
    <w:rsid w:val="00513096"/>
    <w:rsid w:val="005B0E13"/>
    <w:rsid w:val="00613235"/>
    <w:rsid w:val="00636D9A"/>
    <w:rsid w:val="00656E12"/>
    <w:rsid w:val="0077204B"/>
    <w:rsid w:val="007825CF"/>
    <w:rsid w:val="007921BE"/>
    <w:rsid w:val="00866DBF"/>
    <w:rsid w:val="008E4C02"/>
    <w:rsid w:val="0090092C"/>
    <w:rsid w:val="00916035"/>
    <w:rsid w:val="009259E1"/>
    <w:rsid w:val="009261B0"/>
    <w:rsid w:val="009C3901"/>
    <w:rsid w:val="009C5459"/>
    <w:rsid w:val="009D00A0"/>
    <w:rsid w:val="009F5EE7"/>
    <w:rsid w:val="00A5075D"/>
    <w:rsid w:val="00A51CC8"/>
    <w:rsid w:val="00AF4718"/>
    <w:rsid w:val="00B13334"/>
    <w:rsid w:val="00B27BB9"/>
    <w:rsid w:val="00BD4884"/>
    <w:rsid w:val="00C1732C"/>
    <w:rsid w:val="00C3781D"/>
    <w:rsid w:val="00C57C21"/>
    <w:rsid w:val="00C7552A"/>
    <w:rsid w:val="00C94D2F"/>
    <w:rsid w:val="00C95201"/>
    <w:rsid w:val="00CA472B"/>
    <w:rsid w:val="00CD630A"/>
    <w:rsid w:val="00CF77D0"/>
    <w:rsid w:val="00D7104A"/>
    <w:rsid w:val="00E05A64"/>
    <w:rsid w:val="00E50563"/>
    <w:rsid w:val="00EE69B4"/>
    <w:rsid w:val="00FB5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DE474"/>
  <w15:chartTrackingRefBased/>
  <w15:docId w15:val="{1C90A276-BCFF-46BD-B501-EB4A542A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imes New Roman"/>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TRC Body Text"/>
    <w:qFormat/>
    <w:rsid w:val="00A51CC8"/>
    <w:pPr>
      <w:spacing w:after="240" w:line="240" w:lineRule="auto"/>
    </w:pPr>
    <w:rPr>
      <w:rFonts w:ascii="Times New Roman" w:eastAsia="Times New Roman" w:hAnsi="Times New Roman"/>
      <w:sz w:val="24"/>
    </w:rPr>
  </w:style>
  <w:style w:type="paragraph" w:styleId="Heading1">
    <w:name w:val="heading 1"/>
    <w:basedOn w:val="Normal"/>
    <w:next w:val="Normal"/>
    <w:link w:val="Heading1Char"/>
    <w:uiPriority w:val="9"/>
    <w:qFormat/>
    <w:rsid w:val="00A51CC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1CC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1CC8"/>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1CC8"/>
    <w:pPr>
      <w:keepNext/>
      <w:keepLines/>
      <w:spacing w:before="80" w:after="40" w:line="259" w:lineRule="auto"/>
      <w:outlineLvl w:val="3"/>
    </w:pPr>
    <w:rPr>
      <w:rFonts w:asciiTheme="minorHAnsi" w:eastAsiaTheme="majorEastAsia" w:hAnsiTheme="minorHAnsi" w:cstheme="majorBidi"/>
      <w:i/>
      <w:iCs/>
      <w:color w:val="0F4761" w:themeColor="accent1" w:themeShade="BF"/>
      <w:sz w:val="22"/>
    </w:rPr>
  </w:style>
  <w:style w:type="paragraph" w:styleId="Heading5">
    <w:name w:val="heading 5"/>
    <w:basedOn w:val="Normal"/>
    <w:next w:val="Normal"/>
    <w:link w:val="Heading5Char"/>
    <w:uiPriority w:val="9"/>
    <w:semiHidden/>
    <w:unhideWhenUsed/>
    <w:qFormat/>
    <w:rsid w:val="00A51CC8"/>
    <w:pPr>
      <w:keepNext/>
      <w:keepLines/>
      <w:spacing w:before="80" w:after="40" w:line="259" w:lineRule="auto"/>
      <w:outlineLvl w:val="4"/>
    </w:pPr>
    <w:rPr>
      <w:rFonts w:asciiTheme="minorHAnsi" w:eastAsiaTheme="majorEastAsia" w:hAnsiTheme="minorHAnsi" w:cstheme="majorBidi"/>
      <w:color w:val="0F4761" w:themeColor="accent1" w:themeShade="BF"/>
      <w:sz w:val="22"/>
    </w:rPr>
  </w:style>
  <w:style w:type="paragraph" w:styleId="Heading6">
    <w:name w:val="heading 6"/>
    <w:basedOn w:val="Normal"/>
    <w:next w:val="Normal"/>
    <w:link w:val="Heading6Char"/>
    <w:uiPriority w:val="9"/>
    <w:semiHidden/>
    <w:unhideWhenUsed/>
    <w:qFormat/>
    <w:rsid w:val="00A51CC8"/>
    <w:pPr>
      <w:keepNext/>
      <w:keepLines/>
      <w:spacing w:before="40" w:after="0" w:line="259" w:lineRule="auto"/>
      <w:outlineLvl w:val="5"/>
    </w:pPr>
    <w:rPr>
      <w:rFonts w:asciiTheme="minorHAnsi" w:eastAsiaTheme="majorEastAsia" w:hAnsiTheme="minorHAnsi" w:cstheme="majorBidi"/>
      <w:i/>
      <w:iCs/>
      <w:color w:val="595959" w:themeColor="text1" w:themeTint="A6"/>
      <w:sz w:val="22"/>
    </w:rPr>
  </w:style>
  <w:style w:type="paragraph" w:styleId="Heading7">
    <w:name w:val="heading 7"/>
    <w:basedOn w:val="Normal"/>
    <w:next w:val="Normal"/>
    <w:link w:val="Heading7Char"/>
    <w:uiPriority w:val="9"/>
    <w:semiHidden/>
    <w:unhideWhenUsed/>
    <w:qFormat/>
    <w:rsid w:val="00A51CC8"/>
    <w:pPr>
      <w:keepNext/>
      <w:keepLines/>
      <w:spacing w:before="40" w:after="0" w:line="259" w:lineRule="auto"/>
      <w:outlineLvl w:val="6"/>
    </w:pPr>
    <w:rPr>
      <w:rFonts w:asciiTheme="minorHAnsi" w:eastAsiaTheme="majorEastAsia" w:hAnsiTheme="minorHAnsi" w:cstheme="majorBidi"/>
      <w:color w:val="595959" w:themeColor="text1" w:themeTint="A6"/>
      <w:sz w:val="22"/>
    </w:rPr>
  </w:style>
  <w:style w:type="paragraph" w:styleId="Heading8">
    <w:name w:val="heading 8"/>
    <w:basedOn w:val="Normal"/>
    <w:next w:val="Normal"/>
    <w:link w:val="Heading8Char"/>
    <w:uiPriority w:val="9"/>
    <w:semiHidden/>
    <w:unhideWhenUsed/>
    <w:qFormat/>
    <w:rsid w:val="00A51CC8"/>
    <w:pPr>
      <w:keepNext/>
      <w:keepLines/>
      <w:spacing w:after="0" w:line="259" w:lineRule="auto"/>
      <w:outlineLvl w:val="7"/>
    </w:pPr>
    <w:rPr>
      <w:rFonts w:asciiTheme="minorHAnsi" w:eastAsiaTheme="majorEastAsia" w:hAnsiTheme="minorHAnsi" w:cstheme="majorBidi"/>
      <w:i/>
      <w:iCs/>
      <w:color w:val="272727" w:themeColor="text1" w:themeTint="D8"/>
      <w:sz w:val="22"/>
    </w:rPr>
  </w:style>
  <w:style w:type="paragraph" w:styleId="Heading9">
    <w:name w:val="heading 9"/>
    <w:basedOn w:val="Normal"/>
    <w:next w:val="Normal"/>
    <w:link w:val="Heading9Char"/>
    <w:uiPriority w:val="9"/>
    <w:semiHidden/>
    <w:unhideWhenUsed/>
    <w:qFormat/>
    <w:rsid w:val="00A51CC8"/>
    <w:pPr>
      <w:keepNext/>
      <w:keepLines/>
      <w:spacing w:after="0" w:line="259" w:lineRule="auto"/>
      <w:outlineLvl w:val="8"/>
    </w:pPr>
    <w:rPr>
      <w:rFonts w:asciiTheme="minorHAnsi" w:eastAsiaTheme="majorEastAsia" w:hAnsiTheme="minorHAnsi" w:cstheme="majorBidi"/>
      <w:color w:val="272727" w:themeColor="text1" w:themeTint="D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C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C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CC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CC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51CC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51CC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51CC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51CC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51CC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51C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CC8"/>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CC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51CC8"/>
    <w:pPr>
      <w:spacing w:before="160" w:after="160" w:line="259" w:lineRule="auto"/>
      <w:jc w:val="center"/>
    </w:pPr>
    <w:rPr>
      <w:rFonts w:ascii="Tahoma" w:eastAsiaTheme="minorHAnsi" w:hAnsi="Tahoma"/>
      <w:i/>
      <w:iCs/>
      <w:color w:val="404040" w:themeColor="text1" w:themeTint="BF"/>
      <w:sz w:val="22"/>
    </w:rPr>
  </w:style>
  <w:style w:type="character" w:customStyle="1" w:styleId="QuoteChar">
    <w:name w:val="Quote Char"/>
    <w:basedOn w:val="DefaultParagraphFont"/>
    <w:link w:val="Quote"/>
    <w:uiPriority w:val="29"/>
    <w:rsid w:val="00A51CC8"/>
    <w:rPr>
      <w:i/>
      <w:iCs/>
      <w:color w:val="404040" w:themeColor="text1" w:themeTint="BF"/>
    </w:rPr>
  </w:style>
  <w:style w:type="paragraph" w:styleId="ListParagraph">
    <w:name w:val="List Paragraph"/>
    <w:basedOn w:val="Normal"/>
    <w:uiPriority w:val="34"/>
    <w:qFormat/>
    <w:rsid w:val="00A51CC8"/>
    <w:pPr>
      <w:spacing w:after="160" w:line="259" w:lineRule="auto"/>
      <w:ind w:left="720"/>
      <w:contextualSpacing/>
    </w:pPr>
    <w:rPr>
      <w:rFonts w:ascii="Tahoma" w:eastAsiaTheme="minorHAnsi" w:hAnsi="Tahoma"/>
      <w:sz w:val="22"/>
    </w:rPr>
  </w:style>
  <w:style w:type="character" w:styleId="IntenseEmphasis">
    <w:name w:val="Intense Emphasis"/>
    <w:basedOn w:val="DefaultParagraphFont"/>
    <w:uiPriority w:val="21"/>
    <w:qFormat/>
    <w:rsid w:val="00A51CC8"/>
    <w:rPr>
      <w:i/>
      <w:iCs/>
      <w:color w:val="0F4761" w:themeColor="accent1" w:themeShade="BF"/>
    </w:rPr>
  </w:style>
  <w:style w:type="paragraph" w:styleId="IntenseQuote">
    <w:name w:val="Intense Quote"/>
    <w:basedOn w:val="Normal"/>
    <w:next w:val="Normal"/>
    <w:link w:val="IntenseQuoteChar"/>
    <w:uiPriority w:val="30"/>
    <w:qFormat/>
    <w:rsid w:val="00A51CC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ahoma" w:eastAsiaTheme="minorHAnsi" w:hAnsi="Tahoma"/>
      <w:i/>
      <w:iCs/>
      <w:color w:val="0F4761" w:themeColor="accent1" w:themeShade="BF"/>
      <w:sz w:val="22"/>
    </w:rPr>
  </w:style>
  <w:style w:type="character" w:customStyle="1" w:styleId="IntenseQuoteChar">
    <w:name w:val="Intense Quote Char"/>
    <w:basedOn w:val="DefaultParagraphFont"/>
    <w:link w:val="IntenseQuote"/>
    <w:uiPriority w:val="30"/>
    <w:rsid w:val="00A51CC8"/>
    <w:rPr>
      <w:i/>
      <w:iCs/>
      <w:color w:val="0F4761" w:themeColor="accent1" w:themeShade="BF"/>
    </w:rPr>
  </w:style>
  <w:style w:type="character" w:styleId="IntenseReference">
    <w:name w:val="Intense Reference"/>
    <w:basedOn w:val="DefaultParagraphFont"/>
    <w:uiPriority w:val="32"/>
    <w:qFormat/>
    <w:rsid w:val="00A51CC8"/>
    <w:rPr>
      <w:b/>
      <w:bCs/>
      <w:smallCaps/>
      <w:color w:val="0F4761" w:themeColor="accent1" w:themeShade="BF"/>
      <w:spacing w:val="5"/>
    </w:rPr>
  </w:style>
  <w:style w:type="paragraph" w:customStyle="1" w:styleId="ITRCTableText">
    <w:name w:val="ITRC Table Text"/>
    <w:basedOn w:val="Normal"/>
    <w:rsid w:val="00A51CC8"/>
    <w:rPr>
      <w:sz w:val="20"/>
    </w:rPr>
  </w:style>
  <w:style w:type="paragraph" w:customStyle="1" w:styleId="ITRCTableColumnHeading">
    <w:name w:val="ITRC Table Column Heading"/>
    <w:basedOn w:val="ITRCTableText"/>
    <w:rsid w:val="00A51CC8"/>
    <w:pPr>
      <w:keepNext/>
      <w:keepLines/>
      <w:jc w:val="center"/>
    </w:pPr>
    <w:rPr>
      <w:b/>
      <w:bCs/>
    </w:rPr>
  </w:style>
  <w:style w:type="paragraph" w:customStyle="1" w:styleId="ITRCTableTitle">
    <w:name w:val="ITRC Table Title"/>
    <w:basedOn w:val="ITRCTableText"/>
    <w:rsid w:val="00A51CC8"/>
    <w:pPr>
      <w:keepNext/>
      <w:jc w:val="center"/>
    </w:pPr>
    <w:rPr>
      <w:b/>
      <w:bCs/>
      <w:sz w:val="24"/>
    </w:rPr>
  </w:style>
  <w:style w:type="character" w:styleId="CommentReference">
    <w:name w:val="annotation reference"/>
    <w:basedOn w:val="DefaultParagraphFont"/>
    <w:semiHidden/>
    <w:rsid w:val="00A51CC8"/>
    <w:rPr>
      <w:sz w:val="16"/>
      <w:szCs w:val="16"/>
    </w:rPr>
  </w:style>
  <w:style w:type="paragraph" w:styleId="CommentText">
    <w:name w:val="annotation text"/>
    <w:basedOn w:val="Normal"/>
    <w:link w:val="CommentTextChar"/>
    <w:semiHidden/>
    <w:rsid w:val="00A51CC8"/>
    <w:rPr>
      <w:sz w:val="20"/>
    </w:rPr>
  </w:style>
  <w:style w:type="character" w:customStyle="1" w:styleId="CommentTextChar">
    <w:name w:val="Comment Text Char"/>
    <w:basedOn w:val="DefaultParagraphFont"/>
    <w:link w:val="CommentText"/>
    <w:semiHidden/>
    <w:rsid w:val="00A51CC8"/>
    <w:rPr>
      <w:rFonts w:ascii="Times New Roman" w:eastAsia="Times New Roman" w:hAnsi="Times New Roman"/>
      <w:sz w:val="20"/>
    </w:rPr>
  </w:style>
  <w:style w:type="paragraph" w:customStyle="1" w:styleId="Source">
    <w:name w:val="Source"/>
    <w:basedOn w:val="ITRCTableText"/>
    <w:qFormat/>
    <w:rsid w:val="00A51CC8"/>
    <w:pPr>
      <w:spacing w:after="0"/>
    </w:pPr>
    <w:rPr>
      <w:color w:val="0563C1"/>
      <w:u w:val="single"/>
    </w:rPr>
  </w:style>
  <w:style w:type="paragraph" w:customStyle="1" w:styleId="ITRCTableNote">
    <w:name w:val="ITRC Table Note"/>
    <w:qFormat/>
    <w:rsid w:val="00A51CC8"/>
    <w:pPr>
      <w:spacing w:after="240" w:line="240" w:lineRule="auto"/>
    </w:pPr>
    <w:rPr>
      <w:rFonts w:ascii="Times New Roman" w:eastAsia="Times New Roman" w:hAnsi="Times New Roman"/>
      <w:sz w:val="20"/>
    </w:rPr>
  </w:style>
  <w:style w:type="paragraph" w:styleId="Header">
    <w:name w:val="header"/>
    <w:basedOn w:val="Normal"/>
    <w:link w:val="HeaderChar"/>
    <w:uiPriority w:val="99"/>
    <w:unhideWhenUsed/>
    <w:rsid w:val="00A51CC8"/>
    <w:pPr>
      <w:tabs>
        <w:tab w:val="center" w:pos="4680"/>
        <w:tab w:val="right" w:pos="9360"/>
      </w:tabs>
      <w:spacing w:after="0"/>
    </w:pPr>
  </w:style>
  <w:style w:type="character" w:customStyle="1" w:styleId="HeaderChar">
    <w:name w:val="Header Char"/>
    <w:basedOn w:val="DefaultParagraphFont"/>
    <w:link w:val="Header"/>
    <w:uiPriority w:val="99"/>
    <w:rsid w:val="00A51CC8"/>
    <w:rPr>
      <w:rFonts w:ascii="Times New Roman" w:eastAsia="Times New Roman" w:hAnsi="Times New Roman"/>
      <w:sz w:val="24"/>
    </w:rPr>
  </w:style>
  <w:style w:type="paragraph" w:styleId="Footer">
    <w:name w:val="footer"/>
    <w:basedOn w:val="Normal"/>
    <w:link w:val="FooterChar"/>
    <w:uiPriority w:val="99"/>
    <w:unhideWhenUsed/>
    <w:rsid w:val="00A51CC8"/>
    <w:pPr>
      <w:tabs>
        <w:tab w:val="center" w:pos="4680"/>
        <w:tab w:val="right" w:pos="9360"/>
      </w:tabs>
      <w:spacing w:after="0"/>
    </w:pPr>
  </w:style>
  <w:style w:type="character" w:customStyle="1" w:styleId="FooterChar">
    <w:name w:val="Footer Char"/>
    <w:basedOn w:val="DefaultParagraphFont"/>
    <w:link w:val="Footer"/>
    <w:uiPriority w:val="99"/>
    <w:rsid w:val="00A51CC8"/>
    <w:rPr>
      <w:rFonts w:ascii="Times New Roman" w:eastAsia="Times New Roman" w:hAnsi="Times New Roman"/>
      <w:sz w:val="24"/>
    </w:rPr>
  </w:style>
  <w:style w:type="character" w:styleId="PageNumber">
    <w:name w:val="page number"/>
    <w:aliases w:val="ITRC Page number"/>
    <w:rsid w:val="00A51CC8"/>
    <w:rPr>
      <w:rFonts w:ascii="Times New Roman" w:hAnsi="Times New Roman"/>
      <w:sz w:val="20"/>
    </w:rPr>
  </w:style>
  <w:style w:type="paragraph" w:styleId="Bibliography">
    <w:name w:val="Bibliography"/>
    <w:basedOn w:val="Normal"/>
    <w:next w:val="Normal"/>
    <w:uiPriority w:val="37"/>
    <w:unhideWhenUsed/>
    <w:rsid w:val="0042577F"/>
  </w:style>
  <w:style w:type="character" w:styleId="Hyperlink">
    <w:name w:val="Hyperlink"/>
    <w:basedOn w:val="DefaultParagraphFont"/>
    <w:uiPriority w:val="99"/>
    <w:unhideWhenUsed/>
    <w:rsid w:val="00C1732C"/>
    <w:rPr>
      <w:color w:val="467886" w:themeColor="hyperlink"/>
      <w:u w:val="single"/>
    </w:rPr>
  </w:style>
  <w:style w:type="character" w:styleId="UnresolvedMention">
    <w:name w:val="Unresolved Mention"/>
    <w:basedOn w:val="DefaultParagraphFont"/>
    <w:uiPriority w:val="99"/>
    <w:semiHidden/>
    <w:unhideWhenUsed/>
    <w:rsid w:val="00C17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593567">
      <w:bodyDiv w:val="1"/>
      <w:marLeft w:val="0"/>
      <w:marRight w:val="0"/>
      <w:marTop w:val="0"/>
      <w:marBottom w:val="0"/>
      <w:divBdr>
        <w:top w:val="none" w:sz="0" w:space="0" w:color="auto"/>
        <w:left w:val="none" w:sz="0" w:space="0" w:color="auto"/>
        <w:bottom w:val="none" w:sz="0" w:space="0" w:color="auto"/>
        <w:right w:val="none" w:sz="0" w:space="0" w:color="auto"/>
      </w:divBdr>
    </w:div>
    <w:div w:id="140590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s.acs.org/doi/10.1021/acs.est.0c04114?ref=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i.org/10.1016/j.scitotenv.2024.170046" TargetMode="External"/><Relationship Id="rId4" Type="http://schemas.openxmlformats.org/officeDocument/2006/relationships/styles" Target="styles.xml"/><Relationship Id="rId9" Type="http://schemas.openxmlformats.org/officeDocument/2006/relationships/hyperlink" Target="https://pubs.acs.org/doi/10.1021/acs.est.2c0765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733e71-d234-4b62-bf8f-0e98c18cd2d1" xsi:nil="true"/>
    <lcf76f155ced4ddcb4097134ff3c332f xmlns="9ba537ab-4eab-42d3-bc6e-921ce24a404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23F68BBED0054ABF25E8AE529843F4" ma:contentTypeVersion="15" ma:contentTypeDescription="Create a new document." ma:contentTypeScope="" ma:versionID="203c5165011b5d6e3569bd370d6362a6">
  <xsd:schema xmlns:xsd="http://www.w3.org/2001/XMLSchema" xmlns:xs="http://www.w3.org/2001/XMLSchema" xmlns:p="http://schemas.microsoft.com/office/2006/metadata/properties" xmlns:ns2="9ba537ab-4eab-42d3-bc6e-921ce24a4045" xmlns:ns3="48733e71-d234-4b62-bf8f-0e98c18cd2d1" targetNamespace="http://schemas.microsoft.com/office/2006/metadata/properties" ma:root="true" ma:fieldsID="4088c5a2416987fb511c671c726d6de8" ns2:_="" ns3:_="">
    <xsd:import namespace="9ba537ab-4eab-42d3-bc6e-921ce24a4045"/>
    <xsd:import namespace="48733e71-d234-4b62-bf8f-0e98c18cd2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537ab-4eab-42d3-bc6e-921ce24a4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58fcfbf-fbb6-4ee5-94f9-8ba9cab504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733e71-d234-4b62-bf8f-0e98c18cd2d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4b4799-9d7d-48ba-b605-66aee24999a3}" ma:internalName="TaxCatchAll" ma:showField="CatchAllData" ma:web="48733e71-d234-4b62-bf8f-0e98c18cd2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91C2B-718C-442A-BDC9-77D81F518F0C}">
  <ds:schemaRefs>
    <ds:schemaRef ds:uri="http://schemas.microsoft.com/office/2006/metadata/properties"/>
    <ds:schemaRef ds:uri="http://schemas.microsoft.com/office/infopath/2007/PartnerControls"/>
    <ds:schemaRef ds:uri="48733e71-d234-4b62-bf8f-0e98c18cd2d1"/>
    <ds:schemaRef ds:uri="9ba537ab-4eab-42d3-bc6e-921ce24a4045"/>
  </ds:schemaRefs>
</ds:datastoreItem>
</file>

<file path=customXml/itemProps2.xml><?xml version="1.0" encoding="utf-8"?>
<ds:datastoreItem xmlns:ds="http://schemas.openxmlformats.org/officeDocument/2006/customXml" ds:itemID="{B50A26FB-C548-4494-AD68-687518A56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537ab-4eab-42d3-bc6e-921ce24a4045"/>
    <ds:schemaRef ds:uri="48733e71-d234-4b62-bf8f-0e98c18cd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463373-FC38-40DC-B8A1-E30D5922EA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1508</Words>
  <Characters>8599</Characters>
  <Application>Microsoft Office Word</Application>
  <DocSecurity>0</DocSecurity>
  <Lines>71</Lines>
  <Paragraphs>20</Paragraphs>
  <ScaleCrop>false</ScaleCrop>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Cummins</dc:creator>
  <cp:keywords/>
  <dc:description/>
  <cp:lastModifiedBy>Steve Brauner</cp:lastModifiedBy>
  <cp:revision>16</cp:revision>
  <cp:lastPrinted>2024-08-07T21:23:00Z</cp:lastPrinted>
  <dcterms:created xsi:type="dcterms:W3CDTF">2024-07-29T22:47:00Z</dcterms:created>
  <dcterms:modified xsi:type="dcterms:W3CDTF">2024-08-07T21:23:00Z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0x0101005D23F68BBED0054ABF25E8AE529843F4</vt:lpwstr>
  </property>
  <property fmtid="{D5CDD505-2E9C-101B-9397-08002B2CF9AE}" pid="3" name="MediaServiceImageTags">
    <vt:lpwstr/>
  </property>
  <property fmtid="{D5CDD505-2E9C-101B-9397-08002B2CF9AE}" pid="4" name="ZOTERO_PREF_1">
    <vt:lpwstr>&lt;data data-version="3" zotero-version="6.0.36"&gt;&lt;session id="EkQrgwZV"/&gt;&lt;style id="http://www.zotero.org/styles/chicago-author-date" locale="en-US" hasBibliography="1" bibliographyStyleHasBeenSet="1"/&gt;&lt;prefs&gt;&lt;pref name="fieldType" value="Field"/&gt;&lt;/prefs&gt;&lt;/</vt:lpwstr>
  </property>
  <property fmtid="{D5CDD505-2E9C-101B-9397-08002B2CF9AE}" pid="5" name="ZOTERO_PREF_2">
    <vt:lpwstr>data&gt;</vt:lpwstr>
  </property>
</Properties>
</file>