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75451" w14:textId="77777777" w:rsidR="001C1BEC" w:rsidRDefault="001C1BEC" w:rsidP="001C1BEC">
      <w:pPr>
        <w:pStyle w:val="ITRCTableTitle"/>
      </w:pPr>
      <w:bookmarkStart w:id="0" w:name="_Toc169717751"/>
      <w:r>
        <w:t>Table 4</w:t>
      </w:r>
      <w:r>
        <w:noBreakHyphen/>
      </w:r>
      <w:r w:rsidRPr="001C48D8">
        <w:t>5. Studies of 6PPD and 6PPD</w:t>
      </w:r>
      <w:r>
        <w:noBreakHyphen/>
        <w:t>q</w:t>
      </w:r>
      <w:r w:rsidRPr="001C48D8">
        <w:t xml:space="preserve"> concentrations in roadside soil</w:t>
      </w:r>
      <w:bookmarkEnd w:id="0"/>
    </w:p>
    <w:tbl>
      <w:tblPr>
        <w:tblW w:w="12955" w:type="dxa"/>
        <w:tblLook w:val="04A0" w:firstRow="1" w:lastRow="0" w:firstColumn="1" w:lastColumn="0" w:noHBand="0" w:noVBand="1"/>
      </w:tblPr>
      <w:tblGrid>
        <w:gridCol w:w="2016"/>
        <w:gridCol w:w="3168"/>
        <w:gridCol w:w="2911"/>
        <w:gridCol w:w="2790"/>
        <w:gridCol w:w="2070"/>
      </w:tblGrid>
      <w:tr w:rsidR="001C1BEC" w:rsidRPr="001C48D8" w14:paraId="60C9E14E" w14:textId="77777777" w:rsidTr="003144FF">
        <w:trPr>
          <w:cantSplit/>
        </w:trPr>
        <w:tc>
          <w:tcPr>
            <w:tcW w:w="2016" w:type="dxa"/>
            <w:tcBorders>
              <w:top w:val="single" w:sz="4" w:space="0" w:color="auto"/>
              <w:left w:val="single" w:sz="4" w:space="0" w:color="auto"/>
              <w:bottom w:val="single" w:sz="4" w:space="0" w:color="auto"/>
              <w:right w:val="single" w:sz="4" w:space="0" w:color="auto"/>
            </w:tcBorders>
            <w:shd w:val="clear" w:color="auto" w:fill="auto"/>
            <w:hideMark/>
          </w:tcPr>
          <w:p w14:paraId="329A9007" w14:textId="77777777" w:rsidR="001C1BEC" w:rsidRPr="001C48D8" w:rsidRDefault="001C1BEC" w:rsidP="003B0252">
            <w:pPr>
              <w:pStyle w:val="ITRCTableColumnHeading"/>
            </w:pPr>
            <w:r w:rsidRPr="001C48D8">
              <w:t>Location</w:t>
            </w:r>
          </w:p>
        </w:tc>
        <w:tc>
          <w:tcPr>
            <w:tcW w:w="3168" w:type="dxa"/>
            <w:tcBorders>
              <w:top w:val="single" w:sz="4" w:space="0" w:color="auto"/>
              <w:left w:val="nil"/>
              <w:bottom w:val="single" w:sz="4" w:space="0" w:color="auto"/>
              <w:right w:val="single" w:sz="4" w:space="0" w:color="auto"/>
            </w:tcBorders>
            <w:shd w:val="clear" w:color="auto" w:fill="auto"/>
            <w:hideMark/>
          </w:tcPr>
          <w:p w14:paraId="6E9425E5" w14:textId="77777777" w:rsidR="001C1BEC" w:rsidRPr="001C48D8" w:rsidRDefault="001C1BEC" w:rsidP="003B0252">
            <w:pPr>
              <w:pStyle w:val="ITRCTableColumnHeading"/>
            </w:pPr>
            <w:r w:rsidRPr="001C48D8">
              <w:t>Information</w:t>
            </w:r>
          </w:p>
        </w:tc>
        <w:tc>
          <w:tcPr>
            <w:tcW w:w="2911" w:type="dxa"/>
            <w:tcBorders>
              <w:top w:val="single" w:sz="4" w:space="0" w:color="auto"/>
              <w:left w:val="nil"/>
              <w:bottom w:val="single" w:sz="4" w:space="0" w:color="auto"/>
              <w:right w:val="single" w:sz="4" w:space="0" w:color="auto"/>
            </w:tcBorders>
            <w:shd w:val="clear" w:color="auto" w:fill="auto"/>
            <w:hideMark/>
          </w:tcPr>
          <w:p w14:paraId="447EBBBA" w14:textId="77777777" w:rsidR="001C1BEC" w:rsidRPr="001C48D8" w:rsidRDefault="001C1BEC" w:rsidP="003B0252">
            <w:pPr>
              <w:pStyle w:val="ITRCTableColumnHeading"/>
            </w:pPr>
            <w:r w:rsidRPr="001C48D8">
              <w:t>Concentration (ng/g)</w:t>
            </w:r>
          </w:p>
        </w:tc>
        <w:tc>
          <w:tcPr>
            <w:tcW w:w="2790" w:type="dxa"/>
            <w:tcBorders>
              <w:top w:val="single" w:sz="4" w:space="0" w:color="auto"/>
              <w:left w:val="nil"/>
              <w:bottom w:val="single" w:sz="4" w:space="0" w:color="auto"/>
              <w:right w:val="single" w:sz="4" w:space="0" w:color="auto"/>
            </w:tcBorders>
            <w:shd w:val="clear" w:color="auto" w:fill="auto"/>
            <w:hideMark/>
          </w:tcPr>
          <w:p w14:paraId="4CF49A06" w14:textId="77777777" w:rsidR="001C1BEC" w:rsidRPr="001C48D8" w:rsidRDefault="001C1BEC" w:rsidP="003B0252">
            <w:pPr>
              <w:pStyle w:val="ITRCTableColumnHeading"/>
            </w:pPr>
            <w:r w:rsidRPr="001C48D8">
              <w:t>Lab Instrumentation</w:t>
            </w:r>
          </w:p>
        </w:tc>
        <w:tc>
          <w:tcPr>
            <w:tcW w:w="2070" w:type="dxa"/>
            <w:tcBorders>
              <w:top w:val="single" w:sz="4" w:space="0" w:color="auto"/>
              <w:left w:val="nil"/>
              <w:bottom w:val="single" w:sz="4" w:space="0" w:color="auto"/>
              <w:right w:val="single" w:sz="4" w:space="0" w:color="auto"/>
            </w:tcBorders>
            <w:shd w:val="clear" w:color="auto" w:fill="auto"/>
            <w:hideMark/>
          </w:tcPr>
          <w:p w14:paraId="5EC5AEA5" w14:textId="77777777" w:rsidR="001C1BEC" w:rsidRPr="001C48D8" w:rsidRDefault="001C1BEC" w:rsidP="003B0252">
            <w:pPr>
              <w:pStyle w:val="ITRCTableColumnHeading"/>
            </w:pPr>
            <w:r w:rsidRPr="001C48D8">
              <w:t>Detection Limit</w:t>
            </w:r>
          </w:p>
        </w:tc>
      </w:tr>
      <w:tr w:rsidR="001C1BEC" w:rsidRPr="001C48D8" w14:paraId="4FAD47B9" w14:textId="77777777" w:rsidTr="003144FF">
        <w:trPr>
          <w:cantSplit/>
        </w:trPr>
        <w:tc>
          <w:tcPr>
            <w:tcW w:w="2016" w:type="dxa"/>
            <w:tcBorders>
              <w:top w:val="nil"/>
              <w:left w:val="single" w:sz="4" w:space="0" w:color="auto"/>
              <w:bottom w:val="single" w:sz="4" w:space="0" w:color="auto"/>
              <w:right w:val="single" w:sz="4" w:space="0" w:color="auto"/>
            </w:tcBorders>
            <w:shd w:val="clear" w:color="auto" w:fill="auto"/>
            <w:hideMark/>
          </w:tcPr>
          <w:p w14:paraId="2E2D53F7" w14:textId="77777777" w:rsidR="00C51F50" w:rsidRDefault="000F312E" w:rsidP="00C51F50">
            <w:pPr>
              <w:pStyle w:val="Source"/>
            </w:pPr>
            <w:hyperlink r:id="rId9" w:history="1">
              <w:r w:rsidR="00C51F50" w:rsidRPr="00216DAD">
                <w:t>New Territories and Kowloon, Hong Kong</w:t>
              </w:r>
            </w:hyperlink>
          </w:p>
          <w:p w14:paraId="3BD566B8" w14:textId="1BFAF1FD" w:rsidR="00481FCA" w:rsidRPr="001C48D8" w:rsidRDefault="00C51F50" w:rsidP="00C51F50">
            <w:r>
              <w:fldChar w:fldCharType="begin"/>
            </w:r>
            <w:r>
              <w:instrText xml:space="preserve"> ADDIN ZOTERO_ITEM CSL_CITATION {"citationID":"xXi4nQvh","properties":{"formattedCitation":"(Cao et al. 2022)","plainCitation":"(Cao et al. 2022)","noteIndex":0},"citationItems":[{"id":2289,"uris":["http://zotero.org/groups/4889498/items/9Y9M4E2P"],"itemData":{"id":2289,"type":"article-journal","container-title":"Environmental Science &amp; Technology","DOI":"10.1021/acs.est.1c07376","ISSN":"0013-936X, 1520-5851","issue":"7","journalAbbreviation":"Environ. Sci. Technol.","language":"en","license":"https://creativecommons.org/licenses/by/4.0/","page":"4142-4150","source":"DOI.org (Crossref)","title":"New Evidence of Rubber–Derived Quinones in Water, Air, and Soil","volume":"56","author":[{"family":"Cao","given":"Guodong"},{"family":"Wang","given":"Wei"},{"family":"Zhang","given":"Jing"},{"family":"Wu","given":"Pengfei"},{"family":"Zhao","given":"Xingchen"},{"family":"Yang","given":"Zhu"},{"family":"Hu","given":"Di"},{"family":"Cai","given":"Zongwei"}],"issued":{"date-parts":[["2022",4,5]]}}}],"schema":"https://github.com/citation-style-language/schema/raw/master/csl-citation.json"} </w:instrText>
            </w:r>
            <w:r>
              <w:fldChar w:fldCharType="separate"/>
            </w:r>
            <w:r w:rsidRPr="00790388">
              <w:rPr>
                <w:sz w:val="20"/>
              </w:rPr>
              <w:t>(C</w:t>
            </w:r>
            <w:r w:rsidRPr="00FF6A61">
              <w:rPr>
                <w:sz w:val="20"/>
              </w:rPr>
              <w:t>ao et al</w:t>
            </w:r>
            <w:r w:rsidRPr="00790388">
              <w:rPr>
                <w:sz w:val="20"/>
              </w:rPr>
              <w:t>. 2022)</w:t>
            </w:r>
            <w:r>
              <w:fldChar w:fldCharType="end"/>
            </w:r>
          </w:p>
        </w:tc>
        <w:tc>
          <w:tcPr>
            <w:tcW w:w="3168" w:type="dxa"/>
            <w:tcBorders>
              <w:top w:val="nil"/>
              <w:left w:val="nil"/>
              <w:bottom w:val="single" w:sz="4" w:space="0" w:color="auto"/>
              <w:right w:val="single" w:sz="4" w:space="0" w:color="auto"/>
            </w:tcBorders>
            <w:shd w:val="clear" w:color="auto" w:fill="auto"/>
            <w:hideMark/>
          </w:tcPr>
          <w:p w14:paraId="04D28494" w14:textId="4C8BFAF9" w:rsidR="001C1BEC" w:rsidRPr="001C48D8" w:rsidRDefault="001C1BEC" w:rsidP="003B0252">
            <w:pPr>
              <w:pStyle w:val="ITRCTableText"/>
            </w:pPr>
            <w:r w:rsidRPr="001C48D8">
              <w:t xml:space="preserve">In August and September 2021, researchers collected 12 samples of roadside soil on </w:t>
            </w:r>
            <w:proofErr w:type="spellStart"/>
            <w:r w:rsidRPr="001C48D8">
              <w:t>nonrainy</w:t>
            </w:r>
            <w:proofErr w:type="spellEnd"/>
            <w:r w:rsidRPr="001C48D8">
              <w:t xml:space="preserve"> </w:t>
            </w:r>
            <w:r>
              <w:t>d</w:t>
            </w:r>
            <w:r w:rsidRPr="001C48D8">
              <w:t xml:space="preserve">ays and analyzed them for a range of antioxidants and </w:t>
            </w:r>
            <w:r>
              <w:t>transformation products</w:t>
            </w:r>
            <w:r w:rsidRPr="001C48D8">
              <w:t>, including 6PPD and 6PPD</w:t>
            </w:r>
            <w:r>
              <w:noBreakHyphen/>
              <w:t>q</w:t>
            </w:r>
            <w:r w:rsidRPr="001C48D8">
              <w:t>. 6PPD</w:t>
            </w:r>
            <w:r>
              <w:noBreakHyphen/>
              <w:t>q</w:t>
            </w:r>
            <w:r w:rsidRPr="001C48D8">
              <w:t xml:space="preserve"> is the primary quinone present in soil, comprising 75.7% of the total PPD</w:t>
            </w:r>
            <w:r w:rsidR="00685B2D">
              <w:t>-q</w:t>
            </w:r>
            <w:r w:rsidRPr="001C48D8">
              <w:t xml:space="preserve"> detected in roadside soil samples.</w:t>
            </w:r>
          </w:p>
        </w:tc>
        <w:tc>
          <w:tcPr>
            <w:tcW w:w="2911" w:type="dxa"/>
            <w:tcBorders>
              <w:top w:val="nil"/>
              <w:left w:val="nil"/>
              <w:bottom w:val="single" w:sz="4" w:space="0" w:color="auto"/>
              <w:right w:val="single" w:sz="4" w:space="0" w:color="auto"/>
            </w:tcBorders>
            <w:shd w:val="clear" w:color="auto" w:fill="auto"/>
            <w:hideMark/>
          </w:tcPr>
          <w:p w14:paraId="1B34CC2D" w14:textId="77777777" w:rsidR="001C1BEC" w:rsidRDefault="001C1BEC" w:rsidP="003B0252">
            <w:pPr>
              <w:pStyle w:val="ITRCTableText"/>
            </w:pPr>
            <w:r w:rsidRPr="001C48D8">
              <w:t>The concentrations of 6PPD and 6PPD</w:t>
            </w:r>
            <w:r>
              <w:noBreakHyphen/>
              <w:t>q</w:t>
            </w:r>
            <w:r w:rsidRPr="001C48D8">
              <w:t xml:space="preserve"> in roadside soil were found to be [median (range)]:</w:t>
            </w:r>
          </w:p>
          <w:p w14:paraId="5389ACD8" w14:textId="77777777" w:rsidR="001C1BEC" w:rsidRPr="001C48D8" w:rsidRDefault="001C1BEC" w:rsidP="003B0252">
            <w:pPr>
              <w:pStyle w:val="ITRCTableText"/>
            </w:pPr>
            <w:r w:rsidRPr="001C48D8">
              <w:t>6PPD: 309 (31.4</w:t>
            </w:r>
            <w:r>
              <w:t>–</w:t>
            </w:r>
            <w:r w:rsidRPr="001C48D8">
              <w:t>831)</w:t>
            </w:r>
            <w:r w:rsidRPr="001C48D8">
              <w:br/>
              <w:t>6PPD</w:t>
            </w:r>
            <w:r>
              <w:noBreakHyphen/>
              <w:t>q</w:t>
            </w:r>
            <w:r w:rsidRPr="001C48D8">
              <w:t>: 234 (9.50</w:t>
            </w:r>
            <w:r>
              <w:t>–</w:t>
            </w:r>
            <w:r w:rsidRPr="001C48D8">
              <w:t>936)</w:t>
            </w:r>
          </w:p>
        </w:tc>
        <w:tc>
          <w:tcPr>
            <w:tcW w:w="2790" w:type="dxa"/>
            <w:tcBorders>
              <w:top w:val="nil"/>
              <w:left w:val="nil"/>
              <w:bottom w:val="single" w:sz="4" w:space="0" w:color="auto"/>
              <w:right w:val="single" w:sz="4" w:space="0" w:color="auto"/>
            </w:tcBorders>
            <w:shd w:val="clear" w:color="auto" w:fill="auto"/>
            <w:hideMark/>
          </w:tcPr>
          <w:p w14:paraId="63B8B3C8" w14:textId="77777777" w:rsidR="001C1BEC" w:rsidRPr="001C48D8" w:rsidRDefault="001C1BEC" w:rsidP="003B0252">
            <w:pPr>
              <w:pStyle w:val="ITRCTableText"/>
            </w:pPr>
            <w:r w:rsidRPr="001C48D8">
              <w:t>Analytical: UHPLC Triple Quadrupole Mass Spectrometry</w:t>
            </w:r>
          </w:p>
        </w:tc>
        <w:tc>
          <w:tcPr>
            <w:tcW w:w="2070" w:type="dxa"/>
            <w:tcBorders>
              <w:top w:val="nil"/>
              <w:left w:val="nil"/>
              <w:bottom w:val="single" w:sz="4" w:space="0" w:color="auto"/>
              <w:right w:val="single" w:sz="4" w:space="0" w:color="auto"/>
            </w:tcBorders>
            <w:shd w:val="clear" w:color="auto" w:fill="auto"/>
            <w:hideMark/>
          </w:tcPr>
          <w:p w14:paraId="3FD5ED47" w14:textId="77777777" w:rsidR="001C1BEC" w:rsidRDefault="001C1BEC" w:rsidP="003B0252">
            <w:pPr>
              <w:pStyle w:val="ITRCTableText"/>
            </w:pPr>
            <w:r w:rsidRPr="001C48D8">
              <w:t>IQL:</w:t>
            </w:r>
            <w:r w:rsidRPr="001C48D8">
              <w:br/>
              <w:t>6PPD: 0.035</w:t>
            </w:r>
            <w:r>
              <w:t> ng</w:t>
            </w:r>
            <w:r w:rsidRPr="001C48D8">
              <w:t>/mL</w:t>
            </w:r>
          </w:p>
          <w:p w14:paraId="0CFC8CAC" w14:textId="77777777" w:rsidR="001C1BEC" w:rsidRPr="001C48D8" w:rsidRDefault="001C1BEC" w:rsidP="003B0252">
            <w:pPr>
              <w:pStyle w:val="ITRCTableText"/>
            </w:pPr>
            <w:r w:rsidRPr="001C48D8">
              <w:t>6PPD</w:t>
            </w:r>
            <w:r>
              <w:noBreakHyphen/>
              <w:t>q</w:t>
            </w:r>
            <w:r w:rsidRPr="001C48D8">
              <w:t>: 0.023</w:t>
            </w:r>
            <w:r>
              <w:t> ng</w:t>
            </w:r>
            <w:r w:rsidRPr="001C48D8">
              <w:t>/mL</w:t>
            </w:r>
          </w:p>
        </w:tc>
      </w:tr>
    </w:tbl>
    <w:p w14:paraId="45A5689C" w14:textId="31280C55" w:rsidR="001C1BEC" w:rsidRDefault="001C1BEC" w:rsidP="001C1BEC">
      <w:pPr>
        <w:pStyle w:val="ITRCTableNote"/>
      </w:pPr>
      <w:r w:rsidRPr="004A4694">
        <w:t xml:space="preserve">Notes: IQL=instrument quantification limit, </w:t>
      </w:r>
      <w:r>
        <w:t xml:space="preserve">ng/g=nanograms per gram, </w:t>
      </w:r>
      <w:r w:rsidRPr="004A4694">
        <w:t>PPD-q=para-phenylenediamines-quinone</w:t>
      </w:r>
      <w:r w:rsidR="00685B2D">
        <w:t>s</w:t>
      </w:r>
      <w:r w:rsidRPr="004A4694">
        <w:t>, UHPLC</w:t>
      </w:r>
      <w:r>
        <w:t>=</w:t>
      </w:r>
      <w:r w:rsidRPr="00D91384">
        <w:t>ultra-high</w:t>
      </w:r>
      <w:r w:rsidRPr="003B0252">
        <w:t>–</w:t>
      </w:r>
      <w:r w:rsidRPr="00D91384">
        <w:t>performance liquid chromatography</w:t>
      </w:r>
    </w:p>
    <w:p w14:paraId="02B73FA0" w14:textId="66981309" w:rsidR="00FB5F2D" w:rsidRPr="009D00A0" w:rsidRDefault="00FB5F2D" w:rsidP="00854E9E">
      <w:pPr>
        <w:pStyle w:val="Bibliography"/>
        <w:spacing w:after="240"/>
        <w:ind w:left="0" w:firstLine="0"/>
        <w:rPr>
          <w:b/>
          <w:bCs/>
        </w:rPr>
      </w:pPr>
      <w:r w:rsidRPr="009D00A0">
        <w:rPr>
          <w:b/>
          <w:bCs/>
        </w:rPr>
        <w:t>References</w:t>
      </w:r>
      <w:r w:rsidR="00B85685">
        <w:rPr>
          <w:b/>
          <w:bCs/>
        </w:rPr>
        <w:fldChar w:fldCharType="begin"/>
      </w:r>
      <w:r w:rsidR="00B85685">
        <w:rPr>
          <w:b/>
          <w:bCs/>
        </w:rPr>
        <w:instrText xml:space="preserve"> ADDIN ZOTERO_ITEM CSL_CITATION {"citationID":"zngeBV38","properties":{"formattedCitation":"(Marques dos Santos and Snyder 2023)","plainCitation":"(Marques dos Santos and Snyder 2023)","noteIndex":0},"citationItems":[{"id":1711,"uris":["http://zotero.org/groups/4889498/items/6Q525ASY"],"itemData":{"id":1711,"type":"article-journal","abstract":"While the occurrence of polymer additives in the environment has gained much attention in recent years, particularly through the emission of tire wear particles (TWPs), evidence of the occurrence of such chemicals in drinking water systems is limited. Even less information is available regarding potential chlorination/chloramination transformation byproducts. In this study, we report the occurrence of N-(1,3-dimethylbutyl)-N′-phenyl-1,4-benzenediamine (6PPD), 1,3-diphenylguanidine (DPG), and three chlorinated byproducts (1,3-bis(2-chlorophenyl)guanidine (CC15), 1-(4-chlorophenyl)-3-(2,4-dichlorophenyl)guanidine (CC05), and 1-(2,4-dichlorophenyl)-3-phenylguanidine) (CC11)) in drinking water samples (n = 20). DPG showed detection frequency of 100%; median 4.3 ng/L (min = 0.25 ng/L; max = 32.6 ng/L), and a chlorinated by product of DPG (CC15) was also detected in 100% of samples; median 1.7 ng/L (min = 0.29 ng/L; max = 11.2 ng/L). CC11 was also found in 10% of samples and was previously reported as potentially genotoxic. While most studies have focused on the tire rubber related origin of DPG and 6PPD in the environment, results show a potential major contribution of other polymer materials used in household devices such as tap water aerators, particularly O-rings and seals. Leaching potential of such materials was demonstrated, and contact with free chlorine and monochloramine induced the formation of different halogenated transformation byproducts.","container-title":"Environmental Science &amp; Technology Letters","DOI":"10.1021/acs.estlett.3c00446","journalAbbreviation":"Environ. Sci. Technol. Lett.","note":"publisher: American Chemical Society","source":"ACS Publications","title":"Occurrence of Polymer Additives 1,3-Diphenylguanidine (DPG), N-(1,3-Dimethylbutyl)-N′-phenyl-1,4-benzenediamine (6PPD), and Chlorinated Byproducts in Drinking Water: Contribution from Plumbing Polymer Materials","title-short":"Occurrence of Polymer Additives 1,3-Diphenylguanidine (DPG), N-(1,3-Dimethylbutyl)-N′-phenyl-1,4-benzenediamine (6PPD), and Chlorinated Byproducts in Drinking Water","URL":"https://doi.org/10.1021/acs.estlett.3c00446","author":[{"family":"Marques dos Santos","given":"Mauricius"},{"family":"Snyder","given":"Shane Allen"}],"accessed":{"date-parts":[["2023",9,9]]},"issued":{"date-parts":[["2023",9,6]]}}}],"schema":"https://github.com/citation-style-language/schema/raw/master/csl-citation.json"} </w:instrText>
      </w:r>
      <w:r w:rsidR="00B85685">
        <w:rPr>
          <w:b/>
          <w:bCs/>
        </w:rPr>
        <w:fldChar w:fldCharType="separate"/>
      </w:r>
      <w:r w:rsidR="00B85685" w:rsidRPr="00B85685">
        <w:t>(Marques dos Santos and Snyder 2023)</w:t>
      </w:r>
      <w:r w:rsidR="00B85685">
        <w:rPr>
          <w:b/>
          <w:bCs/>
        </w:rPr>
        <w:fldChar w:fldCharType="end"/>
      </w:r>
    </w:p>
    <w:p w14:paraId="0CDE31B5" w14:textId="77777777" w:rsidR="00B85685" w:rsidRPr="00B85685" w:rsidRDefault="006A5F37" w:rsidP="001F2EE9">
      <w:pPr>
        <w:pStyle w:val="Bibliography"/>
        <w:spacing w:after="240"/>
      </w:pPr>
      <w:r>
        <w:fldChar w:fldCharType="begin"/>
      </w:r>
      <w:r w:rsidR="00B85685">
        <w:instrText xml:space="preserve"> ADDIN ZOTERO_BIBL {"uncited":[],"omitted":[],"custom":[]} CSL_BIBLIOGRAPHY </w:instrText>
      </w:r>
      <w:r>
        <w:fldChar w:fldCharType="separate"/>
      </w:r>
      <w:r w:rsidR="00B85685" w:rsidRPr="00B85685">
        <w:t xml:space="preserve">Cao, Guodong, Wei Wang, Jing Zhang, Pengfei Wu, Xingchen Zhao, Zhu Yang, Di Hu, and Zongwei Cai. 2022. “New Evidence of Rubber–Derived Quinones in Water, Air, and Soil.” </w:t>
      </w:r>
      <w:r w:rsidR="00B85685" w:rsidRPr="00B85685">
        <w:rPr>
          <w:i/>
          <w:iCs/>
        </w:rPr>
        <w:t>Environmental Science &amp; Technology</w:t>
      </w:r>
      <w:r w:rsidR="00B85685" w:rsidRPr="00B85685">
        <w:t xml:space="preserve"> 56 (7): 4142–50. https://doi.org/10.1021/acs.est.1c07376.</w:t>
      </w:r>
    </w:p>
    <w:p w14:paraId="4325A83F" w14:textId="77777777" w:rsidR="00B85685" w:rsidRPr="00B85685" w:rsidRDefault="00B85685" w:rsidP="001F2EE9">
      <w:pPr>
        <w:pStyle w:val="Bibliography"/>
        <w:spacing w:after="240"/>
      </w:pPr>
      <w:r w:rsidRPr="00B85685">
        <w:t xml:space="preserve">Marques dos Santos, Mauricius, and Shane Allen Snyder. 2023. “Occurrence of Polymer Additives 1,3-Diphenylguanidine (DPG), N-(1,3-Dimethylbutyl)-N′-Phenyl-1,4-Benzenediamine (6PPD), and Chlorinated Byproducts in Drinking Water: Contribution from Plumbing Polymer Materials.” </w:t>
      </w:r>
      <w:r w:rsidRPr="00B85685">
        <w:rPr>
          <w:i/>
          <w:iCs/>
        </w:rPr>
        <w:t>Environmental Science &amp; Technology Letters</w:t>
      </w:r>
      <w:r w:rsidRPr="00B85685">
        <w:t>, September. https://doi.org/10.1021/acs.estlett.3c00446.</w:t>
      </w:r>
    </w:p>
    <w:p w14:paraId="0C35CFD8" w14:textId="201E2C80" w:rsidR="00B13334" w:rsidRPr="001C1BEC" w:rsidRDefault="006A5F37" w:rsidP="001F2EE9">
      <w:r>
        <w:fldChar w:fldCharType="end"/>
      </w:r>
    </w:p>
    <w:sectPr w:rsidR="00B13334" w:rsidRPr="001C1BEC" w:rsidSect="006F516F">
      <w:headerReference w:type="default" r:id="rId10"/>
      <w:footerReference w:type="default" r:id="rId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9C324" w14:textId="77777777" w:rsidR="002F5399" w:rsidRDefault="002F5399" w:rsidP="00A51CC8">
      <w:pPr>
        <w:spacing w:after="0"/>
      </w:pPr>
      <w:r>
        <w:separator/>
      </w:r>
    </w:p>
  </w:endnote>
  <w:endnote w:type="continuationSeparator" w:id="0">
    <w:p w14:paraId="13D89638" w14:textId="77777777" w:rsidR="002F5399" w:rsidRDefault="002F5399" w:rsidP="00A51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3AF2754F" w:rsidR="00A51CC8" w:rsidRPr="002B44FA" w:rsidRDefault="002B44FA" w:rsidP="002B44FA">
    <w:pPr>
      <w:jc w:val="center"/>
      <w:rPr>
        <w:rFonts w:eastAsiaTheme="majorEastAsia"/>
        <w:sz w:val="20"/>
      </w:rPr>
    </w:pPr>
    <w:r w:rsidRPr="003024FC">
      <w:rPr>
        <w:rFonts w:eastAsiaTheme="majorEastAsia"/>
        <w:sz w:val="20"/>
      </w:rPr>
      <w:t xml:space="preserve">Page </w:t>
    </w:r>
    <w:r w:rsidRPr="003024FC">
      <w:rPr>
        <w:rFonts w:eastAsiaTheme="majorEastAsia"/>
        <w:sz w:val="20"/>
      </w:rPr>
      <w:fldChar w:fldCharType="begin"/>
    </w:r>
    <w:r w:rsidRPr="003024FC">
      <w:rPr>
        <w:rFonts w:eastAsiaTheme="majorEastAsia"/>
        <w:sz w:val="20"/>
      </w:rPr>
      <w:instrText xml:space="preserve"> PAGE </w:instrText>
    </w:r>
    <w:r w:rsidRPr="003024FC">
      <w:rPr>
        <w:rFonts w:eastAsiaTheme="majorEastAsia"/>
        <w:sz w:val="20"/>
      </w:rPr>
      <w:fldChar w:fldCharType="separate"/>
    </w:r>
    <w:r>
      <w:rPr>
        <w:rFonts w:eastAsiaTheme="majorEastAsia"/>
        <w:sz w:val="20"/>
      </w:rPr>
      <w:t>1</w:t>
    </w:r>
    <w:r w:rsidRPr="003024FC">
      <w:rPr>
        <w:rFonts w:eastAsiaTheme="majorEastAsia"/>
        <w:sz w:val="20"/>
      </w:rPr>
      <w:fldChar w:fldCharType="end"/>
    </w:r>
    <w:r w:rsidRPr="003024FC">
      <w:rPr>
        <w:rFonts w:eastAsiaTheme="majorEastAsia"/>
        <w:sz w:val="20"/>
      </w:rPr>
      <w:t xml:space="preserve"> of </w:t>
    </w:r>
    <w:r w:rsidRPr="003024FC">
      <w:rPr>
        <w:rFonts w:eastAsiaTheme="majorEastAsia"/>
        <w:sz w:val="20"/>
      </w:rPr>
      <w:fldChar w:fldCharType="begin"/>
    </w:r>
    <w:r w:rsidRPr="003024FC">
      <w:rPr>
        <w:rFonts w:eastAsiaTheme="majorEastAsia"/>
        <w:sz w:val="20"/>
      </w:rPr>
      <w:instrText xml:space="preserve"> DOCPROPERTY  Pages  \* MERGEFORMAT </w:instrText>
    </w:r>
    <w:r w:rsidRPr="003024FC">
      <w:rPr>
        <w:rFonts w:eastAsiaTheme="majorEastAsia"/>
        <w:sz w:val="20"/>
      </w:rPr>
      <w:fldChar w:fldCharType="separate"/>
    </w:r>
    <w:r w:rsidR="000F312E">
      <w:rPr>
        <w:rFonts w:eastAsiaTheme="majorEastAsia"/>
        <w:sz w:val="20"/>
      </w:rPr>
      <w:t>1</w:t>
    </w:r>
    <w:r w:rsidRPr="003024FC">
      <w:rPr>
        <w:rFonts w:eastAsiaTheme="maj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7BE37" w14:textId="77777777" w:rsidR="002F5399" w:rsidRDefault="002F5399" w:rsidP="00A51CC8">
      <w:pPr>
        <w:spacing w:after="0"/>
      </w:pPr>
      <w:r>
        <w:separator/>
      </w:r>
    </w:p>
  </w:footnote>
  <w:footnote w:type="continuationSeparator" w:id="0">
    <w:p w14:paraId="75F592C1" w14:textId="77777777" w:rsidR="002F5399" w:rsidRDefault="002F5399" w:rsidP="00A51C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A8A9" w14:textId="77777777" w:rsidR="00F16998" w:rsidRPr="00C11560" w:rsidRDefault="00F16998" w:rsidP="00F16998">
    <w:pPr>
      <w:pStyle w:val="Header"/>
      <w:tabs>
        <w:tab w:val="clear" w:pos="9360"/>
        <w:tab w:val="right" w:pos="14400"/>
      </w:tabs>
    </w:pPr>
    <w:r>
      <w:t xml:space="preserve">ITRC Tire Anti-Degradants (6PPD) Team </w:t>
    </w:r>
    <w:r>
      <w:tab/>
    </w:r>
    <w:r>
      <w:tab/>
      <w:t>September 2024</w:t>
    </w:r>
  </w:p>
  <w:p w14:paraId="01F10CDF" w14:textId="77777777" w:rsidR="00F16998" w:rsidRDefault="00F16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C044F"/>
    <w:rsid w:val="000F312E"/>
    <w:rsid w:val="00123991"/>
    <w:rsid w:val="001C1BEC"/>
    <w:rsid w:val="001F2EE9"/>
    <w:rsid w:val="0020120B"/>
    <w:rsid w:val="0022422F"/>
    <w:rsid w:val="002B44FA"/>
    <w:rsid w:val="002C369F"/>
    <w:rsid w:val="002C3F44"/>
    <w:rsid w:val="002E3279"/>
    <w:rsid w:val="002F5399"/>
    <w:rsid w:val="003144FF"/>
    <w:rsid w:val="00331D34"/>
    <w:rsid w:val="00335974"/>
    <w:rsid w:val="003949D5"/>
    <w:rsid w:val="00481FCA"/>
    <w:rsid w:val="004D5FE4"/>
    <w:rsid w:val="00513096"/>
    <w:rsid w:val="00613235"/>
    <w:rsid w:val="00636D9A"/>
    <w:rsid w:val="00656E12"/>
    <w:rsid w:val="00685B2D"/>
    <w:rsid w:val="006A5D17"/>
    <w:rsid w:val="006A5F37"/>
    <w:rsid w:val="006C2DD7"/>
    <w:rsid w:val="006C2E24"/>
    <w:rsid w:val="006F516F"/>
    <w:rsid w:val="007C67EB"/>
    <w:rsid w:val="00854E9E"/>
    <w:rsid w:val="009259E1"/>
    <w:rsid w:val="00971946"/>
    <w:rsid w:val="009C5459"/>
    <w:rsid w:val="00A51CC8"/>
    <w:rsid w:val="00B13334"/>
    <w:rsid w:val="00B85685"/>
    <w:rsid w:val="00C51F50"/>
    <w:rsid w:val="00C57C21"/>
    <w:rsid w:val="00C60E27"/>
    <w:rsid w:val="00C97DED"/>
    <w:rsid w:val="00CD630A"/>
    <w:rsid w:val="00D312FE"/>
    <w:rsid w:val="00D50A1A"/>
    <w:rsid w:val="00E05A64"/>
    <w:rsid w:val="00E7744E"/>
    <w:rsid w:val="00EA062B"/>
    <w:rsid w:val="00F16998"/>
    <w:rsid w:val="00FB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paragraph" w:styleId="Bibliography">
    <w:name w:val="Bibliography"/>
    <w:basedOn w:val="Normal"/>
    <w:next w:val="Normal"/>
    <w:uiPriority w:val="37"/>
    <w:unhideWhenUsed/>
    <w:rsid w:val="006A5F37"/>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ubs.acs.org/doi/10.1021/acs.est.1c07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2FDAE-D33F-44BB-AAD1-5267030863A7}">
  <ds:schemaRefs>
    <ds:schemaRef ds:uri="http://purl.org/dc/elements/1.1/"/>
    <ds:schemaRef ds:uri="http://schemas.microsoft.com/office/2006/metadata/properties"/>
    <ds:schemaRef ds:uri="http://schemas.openxmlformats.org/package/2006/metadata/core-properties"/>
    <ds:schemaRef ds:uri="48733e71-d234-4b62-bf8f-0e98c18cd2d1"/>
    <ds:schemaRef ds:uri="http://purl.org/dc/dcmitype/"/>
    <ds:schemaRef ds:uri="http://purl.org/dc/terms/"/>
    <ds:schemaRef ds:uri="9ba537ab-4eab-42d3-bc6e-921ce24a4045"/>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5B75FA4-24C3-43F4-82E8-39C0839AA75A}">
  <ds:schemaRefs>
    <ds:schemaRef ds:uri="http://schemas.microsoft.com/sharepoint/v3/contenttype/forms"/>
  </ds:schemaRefs>
</ds:datastoreItem>
</file>

<file path=customXml/itemProps3.xml><?xml version="1.0" encoding="utf-8"?>
<ds:datastoreItem xmlns:ds="http://schemas.openxmlformats.org/officeDocument/2006/customXml" ds:itemID="{C3FDA728-0AA8-4678-906B-08D78C4A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16</cp:revision>
  <cp:lastPrinted>2024-08-07T21:15:00Z</cp:lastPrinted>
  <dcterms:created xsi:type="dcterms:W3CDTF">2024-07-29T22:31:00Z</dcterms:created>
  <dcterms:modified xsi:type="dcterms:W3CDTF">2024-08-07T21:15:00Z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id="ycKoNerT"/&gt;&lt;style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ies>
</file>