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1895" w14:textId="77777777" w:rsidR="004D5FE4" w:rsidRDefault="004D5FE4" w:rsidP="004D5FE4">
      <w:pPr>
        <w:pStyle w:val="ITRCTableTitle"/>
      </w:pPr>
      <w:bookmarkStart w:id="0" w:name="_Toc169717750"/>
      <w:r>
        <w:t>Table 4</w:t>
      </w:r>
      <w:r>
        <w:noBreakHyphen/>
      </w:r>
      <w:r w:rsidRPr="001C48D8">
        <w:t>4. Studies of 6PPD and 6PPD</w:t>
      </w:r>
      <w:r>
        <w:noBreakHyphen/>
        <w:t>q</w:t>
      </w:r>
      <w:r w:rsidRPr="001C48D8">
        <w:t xml:space="preserve"> concentrations in groundwater</w:t>
      </w:r>
      <w:bookmarkEnd w:id="0"/>
    </w:p>
    <w:tbl>
      <w:tblPr>
        <w:tblW w:w="0" w:type="auto"/>
        <w:tblLook w:val="04A0" w:firstRow="1" w:lastRow="0" w:firstColumn="1" w:lastColumn="0" w:noHBand="0" w:noVBand="1"/>
      </w:tblPr>
      <w:tblGrid>
        <w:gridCol w:w="2017"/>
        <w:gridCol w:w="3671"/>
        <w:gridCol w:w="3889"/>
        <w:gridCol w:w="1617"/>
        <w:gridCol w:w="1756"/>
      </w:tblGrid>
      <w:tr w:rsidR="004D5FE4" w:rsidRPr="001C48D8" w14:paraId="52B71D8B" w14:textId="77777777" w:rsidTr="00935413">
        <w:trPr>
          <w:cantSplit/>
        </w:trPr>
        <w:tc>
          <w:tcPr>
            <w:tcW w:w="2065" w:type="dxa"/>
            <w:tcBorders>
              <w:top w:val="single" w:sz="4" w:space="0" w:color="auto"/>
              <w:left w:val="single" w:sz="4" w:space="0" w:color="auto"/>
              <w:bottom w:val="single" w:sz="4" w:space="0" w:color="auto"/>
              <w:right w:val="single" w:sz="4" w:space="0" w:color="auto"/>
            </w:tcBorders>
            <w:shd w:val="clear" w:color="auto" w:fill="auto"/>
            <w:hideMark/>
          </w:tcPr>
          <w:p w14:paraId="19C2013F" w14:textId="77777777" w:rsidR="004D5FE4" w:rsidRPr="001C48D8" w:rsidRDefault="004D5FE4" w:rsidP="003B0252">
            <w:pPr>
              <w:pStyle w:val="ITRCTableColumnHeading"/>
            </w:pPr>
            <w:r w:rsidRPr="001C48D8">
              <w:t>Location</w:t>
            </w:r>
          </w:p>
        </w:tc>
        <w:tc>
          <w:tcPr>
            <w:tcW w:w="3780" w:type="dxa"/>
            <w:tcBorders>
              <w:top w:val="single" w:sz="4" w:space="0" w:color="auto"/>
              <w:left w:val="nil"/>
              <w:bottom w:val="single" w:sz="4" w:space="0" w:color="auto"/>
              <w:right w:val="single" w:sz="4" w:space="0" w:color="auto"/>
            </w:tcBorders>
            <w:shd w:val="clear" w:color="auto" w:fill="auto"/>
            <w:hideMark/>
          </w:tcPr>
          <w:p w14:paraId="42B67DB1" w14:textId="77777777" w:rsidR="004D5FE4" w:rsidRPr="001C48D8" w:rsidRDefault="004D5FE4" w:rsidP="003B0252">
            <w:pPr>
              <w:pStyle w:val="ITRCTableColumnHeading"/>
            </w:pPr>
            <w:r w:rsidRPr="001C48D8">
              <w:t>Information</w:t>
            </w:r>
          </w:p>
        </w:tc>
        <w:tc>
          <w:tcPr>
            <w:tcW w:w="4031" w:type="dxa"/>
            <w:tcBorders>
              <w:top w:val="single" w:sz="4" w:space="0" w:color="auto"/>
              <w:left w:val="nil"/>
              <w:bottom w:val="single" w:sz="4" w:space="0" w:color="auto"/>
              <w:right w:val="single" w:sz="4" w:space="0" w:color="auto"/>
            </w:tcBorders>
            <w:shd w:val="clear" w:color="auto" w:fill="auto"/>
            <w:hideMark/>
          </w:tcPr>
          <w:p w14:paraId="6E00C4CB" w14:textId="77777777" w:rsidR="004D5FE4" w:rsidRPr="001C48D8" w:rsidRDefault="004D5FE4" w:rsidP="003B0252">
            <w:pPr>
              <w:pStyle w:val="ITRCTableColumnHeading"/>
            </w:pPr>
            <w:r w:rsidRPr="001C48D8">
              <w:t>Concentration (ng/L)</w:t>
            </w:r>
          </w:p>
        </w:tc>
        <w:tc>
          <w:tcPr>
            <w:tcW w:w="1279" w:type="dxa"/>
            <w:tcBorders>
              <w:top w:val="single" w:sz="4" w:space="0" w:color="auto"/>
              <w:left w:val="nil"/>
              <w:bottom w:val="single" w:sz="4" w:space="0" w:color="auto"/>
              <w:right w:val="single" w:sz="4" w:space="0" w:color="auto"/>
            </w:tcBorders>
            <w:shd w:val="clear" w:color="auto" w:fill="auto"/>
            <w:hideMark/>
          </w:tcPr>
          <w:p w14:paraId="2E8A8341" w14:textId="77777777" w:rsidR="004D5FE4" w:rsidRPr="001C48D8" w:rsidRDefault="004D5FE4" w:rsidP="003B0252">
            <w:pPr>
              <w:pStyle w:val="ITRCTableColumnHeading"/>
            </w:pPr>
            <w:r w:rsidRPr="001C48D8">
              <w:t>Lab Instrumentation</w:t>
            </w:r>
          </w:p>
        </w:tc>
        <w:tc>
          <w:tcPr>
            <w:tcW w:w="1795" w:type="dxa"/>
            <w:tcBorders>
              <w:top w:val="single" w:sz="4" w:space="0" w:color="auto"/>
              <w:left w:val="nil"/>
              <w:bottom w:val="single" w:sz="4" w:space="0" w:color="auto"/>
              <w:right w:val="single" w:sz="4" w:space="0" w:color="auto"/>
            </w:tcBorders>
            <w:shd w:val="clear" w:color="auto" w:fill="auto"/>
            <w:hideMark/>
          </w:tcPr>
          <w:p w14:paraId="12DA107C" w14:textId="77777777" w:rsidR="004D5FE4" w:rsidRPr="001C48D8" w:rsidRDefault="004D5FE4" w:rsidP="003B0252">
            <w:pPr>
              <w:pStyle w:val="ITRCTableColumnHeading"/>
            </w:pPr>
            <w:r w:rsidRPr="001C48D8">
              <w:t>Detection Limit</w:t>
            </w:r>
          </w:p>
        </w:tc>
      </w:tr>
      <w:tr w:rsidR="004D5FE4" w:rsidRPr="001C48D8" w14:paraId="7629B229" w14:textId="77777777" w:rsidTr="00935413">
        <w:trPr>
          <w:cantSplit/>
        </w:trPr>
        <w:tc>
          <w:tcPr>
            <w:tcW w:w="2065" w:type="dxa"/>
            <w:tcBorders>
              <w:top w:val="nil"/>
              <w:left w:val="single" w:sz="4" w:space="0" w:color="auto"/>
              <w:bottom w:val="single" w:sz="4" w:space="0" w:color="auto"/>
              <w:right w:val="single" w:sz="4" w:space="0" w:color="auto"/>
            </w:tcBorders>
            <w:shd w:val="clear" w:color="auto" w:fill="auto"/>
            <w:hideMark/>
          </w:tcPr>
          <w:p w14:paraId="794BD4ED" w14:textId="3E35996F" w:rsidR="0028680C" w:rsidRDefault="00000000" w:rsidP="003B0252">
            <w:pPr>
              <w:pStyle w:val="Source"/>
            </w:pPr>
            <w:hyperlink r:id="rId9" w:history="1">
              <w:r w:rsidR="00D62D55" w:rsidRPr="00DB6624">
                <w:t>Guangzhou, China</w:t>
              </w:r>
            </w:hyperlink>
          </w:p>
          <w:p w14:paraId="55F535B0" w14:textId="541308F7" w:rsidR="004D5FE4" w:rsidRPr="001C48D8" w:rsidRDefault="00D62D55" w:rsidP="0028680C">
            <w:r w:rsidRPr="00A92F8C">
              <w:fldChar w:fldCharType="begin"/>
            </w:r>
            <w:r w:rsidR="0028680C">
              <w:instrText xml:space="preserve"> ADDIN ZOTERO_ITEM CSL_CITATION {"citationID":"lufASWZB","properties":{"formattedCitation":"(Zhang et al. 2023)","plainCitation":"(Zhang et al. 2023)","noteIndex":0},"citationItems":[{"id":1424,"uris":["http://zotero.org/groups/4889498/items/5EP5ELVM"],"itemData":{"id":1424,"type":"article-journal","abstract":"Wearing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p-phenylenediamines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rsidRPr="00A92F8C">
              <w:fldChar w:fldCharType="separate"/>
            </w:r>
            <w:r w:rsidR="0028680C" w:rsidRPr="0028680C">
              <w:rPr>
                <w:sz w:val="20"/>
              </w:rPr>
              <w:t>(Zhang et al. 2023)</w:t>
            </w:r>
            <w:r w:rsidRPr="00A92F8C">
              <w:fldChar w:fldCharType="end"/>
            </w:r>
          </w:p>
        </w:tc>
        <w:tc>
          <w:tcPr>
            <w:tcW w:w="3780" w:type="dxa"/>
            <w:tcBorders>
              <w:top w:val="nil"/>
              <w:left w:val="nil"/>
              <w:bottom w:val="single" w:sz="4" w:space="0" w:color="auto"/>
              <w:right w:val="single" w:sz="4" w:space="0" w:color="auto"/>
            </w:tcBorders>
            <w:shd w:val="clear" w:color="auto" w:fill="auto"/>
            <w:hideMark/>
          </w:tcPr>
          <w:p w14:paraId="3B1972C3" w14:textId="77777777" w:rsidR="004D5FE4" w:rsidRPr="001C48D8" w:rsidRDefault="004D5FE4" w:rsidP="003B0252">
            <w:pPr>
              <w:pStyle w:val="ITRCTableText"/>
            </w:pPr>
            <w:r w:rsidRPr="001C48D8">
              <w:t>Surface</w:t>
            </w:r>
            <w:r>
              <w:t>-</w:t>
            </w:r>
            <w:r w:rsidRPr="001C48D8">
              <w:t xml:space="preserve">water (n=19), groundwater (n=43), and stormwater (n=10) samples were collected along the </w:t>
            </w:r>
            <w:proofErr w:type="spellStart"/>
            <w:r w:rsidRPr="001C48D8">
              <w:t>Liuxi</w:t>
            </w:r>
            <w:proofErr w:type="spellEnd"/>
            <w:r w:rsidRPr="001C48D8">
              <w:t xml:space="preserve"> River and analyzed for p-phenylenediamines, including 6PPD and 6PPD</w:t>
            </w:r>
            <w:r>
              <w:noBreakHyphen/>
              <w:t>q</w:t>
            </w:r>
            <w:r w:rsidRPr="001C48D8">
              <w:t>. Suspended particles from stormwater samples were also analyzed. As expected, 6PPD was only detected in the particle phase.</w:t>
            </w:r>
          </w:p>
        </w:tc>
        <w:tc>
          <w:tcPr>
            <w:tcW w:w="4031" w:type="dxa"/>
            <w:tcBorders>
              <w:top w:val="nil"/>
              <w:left w:val="nil"/>
              <w:bottom w:val="single" w:sz="4" w:space="0" w:color="auto"/>
              <w:right w:val="single" w:sz="4" w:space="0" w:color="auto"/>
            </w:tcBorders>
            <w:shd w:val="clear" w:color="auto" w:fill="auto"/>
            <w:hideMark/>
          </w:tcPr>
          <w:p w14:paraId="5A5463CD" w14:textId="77777777" w:rsidR="004D5FE4" w:rsidRDefault="004D5FE4" w:rsidP="003B0252">
            <w:pPr>
              <w:pStyle w:val="ITRCTableText"/>
            </w:pPr>
            <w:r w:rsidRPr="001C48D8">
              <w:t>The concentrations of 6PPD and 6PPD</w:t>
            </w:r>
            <w:r>
              <w:noBreakHyphen/>
              <w:t>q</w:t>
            </w:r>
            <w:r w:rsidRPr="001C48D8">
              <w:t xml:space="preserve"> in were found to be [median (range)]:</w:t>
            </w:r>
          </w:p>
          <w:p w14:paraId="72859BD1" w14:textId="77777777" w:rsidR="004D5FE4" w:rsidRDefault="004D5FE4" w:rsidP="003B0252">
            <w:pPr>
              <w:pStyle w:val="ITRCTableText"/>
            </w:pPr>
            <w:r w:rsidRPr="001C48D8">
              <w:t>6PPD:</w:t>
            </w:r>
            <w:r w:rsidRPr="001C48D8">
              <w:br/>
              <w:t>Groundwater: ND</w:t>
            </w:r>
          </w:p>
          <w:p w14:paraId="0AB793CB" w14:textId="77777777" w:rsidR="004D5FE4" w:rsidRPr="001C48D8" w:rsidRDefault="004D5FE4" w:rsidP="003B0252">
            <w:pPr>
              <w:pStyle w:val="ITRCTableText"/>
            </w:pPr>
            <w:r w:rsidRPr="001C48D8">
              <w:t>6PPD</w:t>
            </w:r>
            <w:r>
              <w:noBreakHyphen/>
              <w:t>q</w:t>
            </w:r>
            <w:r w:rsidRPr="001C48D8">
              <w:t>:</w:t>
            </w:r>
            <w:r w:rsidRPr="001C48D8">
              <w:br/>
              <w:t>Groundwater: 0.11 (ND</w:t>
            </w:r>
            <w:r>
              <w:t>–</w:t>
            </w:r>
            <w:r w:rsidRPr="001C48D8">
              <w:t>0.70)</w:t>
            </w:r>
          </w:p>
        </w:tc>
        <w:tc>
          <w:tcPr>
            <w:tcW w:w="1279" w:type="dxa"/>
            <w:tcBorders>
              <w:top w:val="nil"/>
              <w:left w:val="nil"/>
              <w:bottom w:val="single" w:sz="4" w:space="0" w:color="auto"/>
              <w:right w:val="single" w:sz="4" w:space="0" w:color="auto"/>
            </w:tcBorders>
            <w:shd w:val="clear" w:color="auto" w:fill="auto"/>
            <w:hideMark/>
          </w:tcPr>
          <w:p w14:paraId="3FAD97C1" w14:textId="77777777" w:rsidR="004D5FE4" w:rsidRPr="001C48D8" w:rsidRDefault="004D5FE4" w:rsidP="003B0252">
            <w:pPr>
              <w:pStyle w:val="ITRCTableText"/>
            </w:pPr>
            <w:r w:rsidRPr="001C48D8">
              <w:t>UHPLC-MS/MS</w:t>
            </w:r>
          </w:p>
        </w:tc>
        <w:tc>
          <w:tcPr>
            <w:tcW w:w="1795" w:type="dxa"/>
            <w:tcBorders>
              <w:top w:val="nil"/>
              <w:left w:val="nil"/>
              <w:bottom w:val="single" w:sz="4" w:space="0" w:color="auto"/>
              <w:right w:val="single" w:sz="4" w:space="0" w:color="auto"/>
            </w:tcBorders>
            <w:shd w:val="clear" w:color="auto" w:fill="auto"/>
            <w:hideMark/>
          </w:tcPr>
          <w:p w14:paraId="01A3AC1F" w14:textId="77777777" w:rsidR="004D5FE4" w:rsidRDefault="004D5FE4" w:rsidP="003B0252">
            <w:pPr>
              <w:pStyle w:val="ITRCTableText"/>
            </w:pPr>
            <w:r w:rsidRPr="001C48D8">
              <w:t>6PPD:</w:t>
            </w:r>
            <w:r w:rsidRPr="001C48D8">
              <w:br/>
              <w:t>MDL: 0.048</w:t>
            </w:r>
            <w:r>
              <w:t> ng</w:t>
            </w:r>
            <w:r w:rsidRPr="001C48D8">
              <w:t xml:space="preserve">/L </w:t>
            </w:r>
            <w:r w:rsidRPr="001C48D8">
              <w:br/>
              <w:t>MQL: 0.160</w:t>
            </w:r>
            <w:r>
              <w:t> ng</w:t>
            </w:r>
            <w:r w:rsidRPr="001C48D8">
              <w:t>/L</w:t>
            </w:r>
          </w:p>
          <w:p w14:paraId="7F0ECF0A" w14:textId="77777777" w:rsidR="004D5FE4" w:rsidRPr="001C48D8" w:rsidRDefault="004D5FE4" w:rsidP="003B0252">
            <w:pPr>
              <w:pStyle w:val="ITRCTableText"/>
            </w:pPr>
            <w:r w:rsidRPr="001C48D8">
              <w:t>6PPD</w:t>
            </w:r>
            <w:r>
              <w:noBreakHyphen/>
              <w:t>q</w:t>
            </w:r>
            <w:r w:rsidRPr="001C48D8">
              <w:t xml:space="preserve">: </w:t>
            </w:r>
            <w:r w:rsidRPr="001C48D8">
              <w:br/>
              <w:t>MDL: 0.029</w:t>
            </w:r>
            <w:r>
              <w:t> ng</w:t>
            </w:r>
            <w:r w:rsidRPr="001C48D8">
              <w:t xml:space="preserve">/L </w:t>
            </w:r>
            <w:r w:rsidRPr="001C48D8">
              <w:br/>
              <w:t>MQL: 0.098</w:t>
            </w:r>
            <w:r>
              <w:t> ng</w:t>
            </w:r>
            <w:r w:rsidRPr="001C48D8">
              <w:t>/L</w:t>
            </w:r>
          </w:p>
        </w:tc>
      </w:tr>
    </w:tbl>
    <w:p w14:paraId="38A4BA1E" w14:textId="77777777" w:rsidR="004D5FE4" w:rsidRDefault="004D5FE4" w:rsidP="004D5FE4">
      <w:pPr>
        <w:pStyle w:val="ITRCTableNote"/>
      </w:pPr>
      <w:r w:rsidRPr="003709BF">
        <w:t xml:space="preserve">Notes: MDL=method detection limit, </w:t>
      </w:r>
      <w:r w:rsidRPr="004A4694">
        <w:t>MQL=</w:t>
      </w:r>
      <w:bookmarkStart w:id="1" w:name="_Hlk169707371"/>
      <w:r w:rsidRPr="003709BF">
        <w:t>method quantification limit</w:t>
      </w:r>
      <w:bookmarkEnd w:id="1"/>
      <w:r w:rsidRPr="004A4694">
        <w:t xml:space="preserve">, </w:t>
      </w:r>
      <w:r w:rsidRPr="003709BF">
        <w:t>ND=</w:t>
      </w:r>
      <w:proofErr w:type="spellStart"/>
      <w:r w:rsidRPr="003709BF">
        <w:t>nondetect</w:t>
      </w:r>
      <w:proofErr w:type="spellEnd"/>
      <w:r w:rsidRPr="003709BF">
        <w:t xml:space="preserve">, </w:t>
      </w:r>
      <w:r>
        <w:t xml:space="preserve">ng/L=nanogram per liter, </w:t>
      </w:r>
      <w:r w:rsidRPr="004A4694">
        <w:t>UHPLC-MS/MS=ultra-high</w:t>
      </w:r>
      <w:r w:rsidRPr="003B0252">
        <w:t>–</w:t>
      </w:r>
      <w:r w:rsidRPr="004A4694">
        <w:t>performance liquid chromatography</w:t>
      </w:r>
      <w:r w:rsidRPr="003B0252">
        <w:t xml:space="preserve">–tandem </w:t>
      </w:r>
      <w:r w:rsidRPr="004A4694">
        <w:t>mass spectrometry</w:t>
      </w:r>
    </w:p>
    <w:p w14:paraId="1A7CF381" w14:textId="77777777" w:rsidR="00D859AB" w:rsidRDefault="00D859AB" w:rsidP="00D859AB">
      <w:pPr>
        <w:rPr>
          <w:b/>
          <w:bCs/>
        </w:rPr>
      </w:pPr>
      <w:r w:rsidRPr="00A75C01">
        <w:rPr>
          <w:b/>
          <w:bCs/>
        </w:rPr>
        <w:t>References</w:t>
      </w:r>
    </w:p>
    <w:p w14:paraId="38E3E435" w14:textId="77777777" w:rsidR="0028680C" w:rsidRPr="0028680C" w:rsidRDefault="00D859AB" w:rsidP="0028680C">
      <w:pPr>
        <w:pStyle w:val="Bibliography"/>
      </w:pPr>
      <w:r>
        <w:rPr>
          <w:b/>
          <w:bCs/>
        </w:rPr>
        <w:fldChar w:fldCharType="begin"/>
      </w:r>
      <w:r>
        <w:rPr>
          <w:b/>
          <w:bCs/>
        </w:rPr>
        <w:instrText xml:space="preserve"> ADDIN ZOTERO_BIBL {"uncited":[],"omitted":[],"custom":[]} CSL_BIBLIOGRAPHY </w:instrText>
      </w:r>
      <w:r>
        <w:rPr>
          <w:b/>
          <w:bCs/>
        </w:rPr>
        <w:fldChar w:fldCharType="separate"/>
      </w:r>
      <w:r w:rsidR="0028680C" w:rsidRPr="0028680C">
        <w:t xml:space="preserve">Zhang, Ruiling, </w:t>
      </w:r>
      <w:proofErr w:type="spellStart"/>
      <w:r w:rsidR="0028680C" w:rsidRPr="0028680C">
        <w:t>Shizhen</w:t>
      </w:r>
      <w:proofErr w:type="spellEnd"/>
      <w:r w:rsidR="0028680C" w:rsidRPr="0028680C">
        <w:t xml:space="preserve"> Zhao, Xin Liu, Lele Tian, </w:t>
      </w:r>
      <w:proofErr w:type="spellStart"/>
      <w:r w:rsidR="0028680C" w:rsidRPr="0028680C">
        <w:t>Yangzhi</w:t>
      </w:r>
      <w:proofErr w:type="spellEnd"/>
      <w:r w:rsidR="0028680C" w:rsidRPr="0028680C">
        <w:t xml:space="preserve"> Mo, Xin Yi, </w:t>
      </w:r>
      <w:proofErr w:type="spellStart"/>
      <w:r w:rsidR="0028680C" w:rsidRPr="0028680C">
        <w:t>Shiyang</w:t>
      </w:r>
      <w:proofErr w:type="spellEnd"/>
      <w:r w:rsidR="0028680C" w:rsidRPr="0028680C">
        <w:t xml:space="preserve"> Liu, Jiaqi Liu, Jun Li, and Gan Zhang. 2023. “Aquatic Environmental Fates and Risks of Benzotriazoles, Benzothiazoles, and p-Phenylenediamines in a Catchment Providing Water to a Megacity of China.” </w:t>
      </w:r>
      <w:r w:rsidR="0028680C" w:rsidRPr="0028680C">
        <w:rPr>
          <w:i/>
          <w:iCs/>
        </w:rPr>
        <w:t>Environmental Research</w:t>
      </w:r>
      <w:r w:rsidR="0028680C" w:rsidRPr="0028680C">
        <w:t xml:space="preserve"> 216 (January):114721. https://doi.org/10.1016/j.envres.2022.114721.</w:t>
      </w:r>
    </w:p>
    <w:p w14:paraId="0C35CFD8" w14:textId="0BF9E4CD" w:rsidR="00B13334" w:rsidRPr="004D5FE4" w:rsidRDefault="00D859AB" w:rsidP="00D859AB">
      <w:r>
        <w:rPr>
          <w:b/>
          <w:bCs/>
        </w:rPr>
        <w:fldChar w:fldCharType="end"/>
      </w:r>
    </w:p>
    <w:sectPr w:rsidR="00B13334" w:rsidRPr="004D5FE4" w:rsidSect="00935413">
      <w:headerReference w:type="default" r:id="rId10"/>
      <w:foot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B0C2" w14:textId="77777777" w:rsidR="001A18D0" w:rsidRDefault="001A18D0" w:rsidP="00A51CC8">
      <w:pPr>
        <w:spacing w:after="0"/>
      </w:pPr>
      <w:r>
        <w:separator/>
      </w:r>
    </w:p>
  </w:endnote>
  <w:endnote w:type="continuationSeparator" w:id="0">
    <w:p w14:paraId="1CA7D8C4" w14:textId="77777777" w:rsidR="001A18D0" w:rsidRDefault="001A18D0"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582FF43A" w:rsidR="00A51CC8" w:rsidRPr="003024FC" w:rsidRDefault="003024FC" w:rsidP="003024FC">
    <w:pPr>
      <w:jc w:val="center"/>
      <w:rPr>
        <w:rFonts w:eastAsiaTheme="majorEastAsia"/>
        <w:sz w:val="20"/>
      </w:rPr>
    </w:pPr>
    <w:r w:rsidRPr="003024FC">
      <w:rPr>
        <w:rFonts w:eastAsiaTheme="majorEastAsia"/>
        <w:sz w:val="20"/>
      </w:rPr>
      <w:t xml:space="preserve">Page </w:t>
    </w:r>
    <w:r w:rsidRPr="003024FC">
      <w:rPr>
        <w:rFonts w:eastAsiaTheme="majorEastAsia"/>
        <w:sz w:val="20"/>
      </w:rPr>
      <w:fldChar w:fldCharType="begin"/>
    </w:r>
    <w:r w:rsidRPr="003024FC">
      <w:rPr>
        <w:rFonts w:eastAsiaTheme="majorEastAsia"/>
        <w:sz w:val="20"/>
      </w:rPr>
      <w:instrText xml:space="preserve"> PAGE </w:instrText>
    </w:r>
    <w:r w:rsidRPr="003024FC">
      <w:rPr>
        <w:rFonts w:eastAsiaTheme="majorEastAsia"/>
        <w:sz w:val="20"/>
      </w:rPr>
      <w:fldChar w:fldCharType="separate"/>
    </w:r>
    <w:r w:rsidRPr="003024FC">
      <w:rPr>
        <w:rFonts w:eastAsiaTheme="majorEastAsia"/>
        <w:sz w:val="20"/>
      </w:rPr>
      <w:t>1</w:t>
    </w:r>
    <w:r w:rsidRPr="003024FC">
      <w:rPr>
        <w:rFonts w:eastAsiaTheme="majorEastAsia"/>
        <w:sz w:val="20"/>
      </w:rPr>
      <w:fldChar w:fldCharType="end"/>
    </w:r>
    <w:r w:rsidRPr="003024FC">
      <w:rPr>
        <w:rFonts w:eastAsiaTheme="majorEastAsia"/>
        <w:sz w:val="20"/>
      </w:rPr>
      <w:t xml:space="preserve"> of </w:t>
    </w:r>
    <w:r w:rsidRPr="003024FC">
      <w:rPr>
        <w:rFonts w:eastAsiaTheme="majorEastAsia"/>
        <w:sz w:val="20"/>
      </w:rPr>
      <w:fldChar w:fldCharType="begin"/>
    </w:r>
    <w:r w:rsidRPr="003024FC">
      <w:rPr>
        <w:rFonts w:eastAsiaTheme="majorEastAsia"/>
        <w:sz w:val="20"/>
      </w:rPr>
      <w:instrText xml:space="preserve"> DOCPROPERTY  Pages  \* MERGEFORMAT </w:instrText>
    </w:r>
    <w:r w:rsidRPr="003024FC">
      <w:rPr>
        <w:rFonts w:eastAsiaTheme="majorEastAsia"/>
        <w:sz w:val="20"/>
      </w:rPr>
      <w:fldChar w:fldCharType="separate"/>
    </w:r>
    <w:r w:rsidR="0022722A">
      <w:rPr>
        <w:rFonts w:eastAsiaTheme="majorEastAsia"/>
        <w:sz w:val="20"/>
      </w:rPr>
      <w:t>1</w:t>
    </w:r>
    <w:r w:rsidRPr="003024FC">
      <w:rPr>
        <w:rFonts w:eastAsiaTheme="maj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664E" w14:textId="77777777" w:rsidR="001A18D0" w:rsidRDefault="001A18D0" w:rsidP="00A51CC8">
      <w:pPr>
        <w:spacing w:after="0"/>
      </w:pPr>
      <w:r>
        <w:separator/>
      </w:r>
    </w:p>
  </w:footnote>
  <w:footnote w:type="continuationSeparator" w:id="0">
    <w:p w14:paraId="78B7E3F3" w14:textId="77777777" w:rsidR="001A18D0" w:rsidRDefault="001A18D0"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5C92" w14:textId="16F97B87" w:rsidR="00C11560" w:rsidRPr="00C11560" w:rsidRDefault="00C11560" w:rsidP="008D37B0">
    <w:pPr>
      <w:pStyle w:val="Header"/>
      <w:tabs>
        <w:tab w:val="clear" w:pos="9360"/>
        <w:tab w:val="right" w:pos="14400"/>
      </w:tabs>
    </w:pPr>
    <w:r>
      <w:t xml:space="preserve">ITRC Tire Anti-Degradants (6PPD) Team </w:t>
    </w:r>
    <w:r>
      <w:tab/>
    </w:r>
    <w:r>
      <w:tab/>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C044F"/>
    <w:rsid w:val="000D03F3"/>
    <w:rsid w:val="001A18D0"/>
    <w:rsid w:val="0020120B"/>
    <w:rsid w:val="0022722A"/>
    <w:rsid w:val="0028680C"/>
    <w:rsid w:val="002C369F"/>
    <w:rsid w:val="002C3F44"/>
    <w:rsid w:val="003024FC"/>
    <w:rsid w:val="00335974"/>
    <w:rsid w:val="004C746A"/>
    <w:rsid w:val="004D5FE4"/>
    <w:rsid w:val="00513096"/>
    <w:rsid w:val="00561D10"/>
    <w:rsid w:val="005A636C"/>
    <w:rsid w:val="005B27F8"/>
    <w:rsid w:val="00613235"/>
    <w:rsid w:val="00636D9A"/>
    <w:rsid w:val="00656E12"/>
    <w:rsid w:val="007825CF"/>
    <w:rsid w:val="008D37B0"/>
    <w:rsid w:val="008E001B"/>
    <w:rsid w:val="009259E1"/>
    <w:rsid w:val="00927F43"/>
    <w:rsid w:val="00935413"/>
    <w:rsid w:val="00981A32"/>
    <w:rsid w:val="009C5459"/>
    <w:rsid w:val="00A5008F"/>
    <w:rsid w:val="00A51CC8"/>
    <w:rsid w:val="00A92F8C"/>
    <w:rsid w:val="00B13334"/>
    <w:rsid w:val="00C04680"/>
    <w:rsid w:val="00C11560"/>
    <w:rsid w:val="00C57C21"/>
    <w:rsid w:val="00D62D55"/>
    <w:rsid w:val="00D859AB"/>
    <w:rsid w:val="00E0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Bibliography">
    <w:name w:val="Bibliography"/>
    <w:basedOn w:val="Normal"/>
    <w:next w:val="Normal"/>
    <w:uiPriority w:val="37"/>
    <w:unhideWhenUsed/>
    <w:rsid w:val="00D859AB"/>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52780">
      <w:bodyDiv w:val="1"/>
      <w:marLeft w:val="0"/>
      <w:marRight w:val="0"/>
      <w:marTop w:val="0"/>
      <w:marBottom w:val="0"/>
      <w:divBdr>
        <w:top w:val="none" w:sz="0" w:space="0" w:color="auto"/>
        <w:left w:val="none" w:sz="0" w:space="0" w:color="auto"/>
        <w:bottom w:val="none" w:sz="0" w:space="0" w:color="auto"/>
        <w:right w:val="none" w:sz="0" w:space="0" w:color="auto"/>
      </w:divBdr>
    </w:div>
    <w:div w:id="461339399">
      <w:bodyDiv w:val="1"/>
      <w:marLeft w:val="0"/>
      <w:marRight w:val="0"/>
      <w:marTop w:val="0"/>
      <w:marBottom w:val="0"/>
      <w:divBdr>
        <w:top w:val="none" w:sz="0" w:space="0" w:color="auto"/>
        <w:left w:val="none" w:sz="0" w:space="0" w:color="auto"/>
        <w:bottom w:val="none" w:sz="0" w:space="0" w:color="auto"/>
        <w:right w:val="none" w:sz="0" w:space="0" w:color="auto"/>
      </w:divBdr>
    </w:div>
    <w:div w:id="1114711996">
      <w:bodyDiv w:val="1"/>
      <w:marLeft w:val="0"/>
      <w:marRight w:val="0"/>
      <w:marTop w:val="0"/>
      <w:marBottom w:val="0"/>
      <w:divBdr>
        <w:top w:val="none" w:sz="0" w:space="0" w:color="auto"/>
        <w:left w:val="none" w:sz="0" w:space="0" w:color="auto"/>
        <w:bottom w:val="none" w:sz="0" w:space="0" w:color="auto"/>
        <w:right w:val="none" w:sz="0" w:space="0" w:color="auto"/>
      </w:divBdr>
    </w:div>
    <w:div w:id="14260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016/j.envres.2022.11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8BD95-D7C4-4BB0-8A6E-ECCD656DF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443B7-9BB0-4C97-9EC0-858D90CBC5E5}">
  <ds:schemaRefs>
    <ds:schemaRef ds:uri="http://schemas.microsoft.com/sharepoint/v3/contenttype/forms"/>
  </ds:schemaRefs>
</ds:datastoreItem>
</file>

<file path=customXml/itemProps3.xml><?xml version="1.0" encoding="utf-8"?>
<ds:datastoreItem xmlns:ds="http://schemas.openxmlformats.org/officeDocument/2006/customXml" ds:itemID="{66C6D3C4-1111-49F4-A64F-BE53655B6035}">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8</cp:revision>
  <cp:lastPrinted>2024-07-30T14:36:00Z</cp:lastPrinted>
  <dcterms:created xsi:type="dcterms:W3CDTF">2024-07-29T22:24:00Z</dcterms:created>
  <dcterms:modified xsi:type="dcterms:W3CDTF">2024-07-30T14:36:00Z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id="Wxdl7LZd"/&gt;&lt;style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