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F2EF" w14:textId="0092E5FB" w:rsidR="00376EF3" w:rsidRDefault="00DE48E3" w:rsidP="004A774C">
      <w:pPr>
        <w:pStyle w:val="ITRCTableTitle"/>
      </w:pPr>
      <w:r w:rsidRPr="00DE48E3">
        <w:t xml:space="preserve">Table 2-3. Summary of </w:t>
      </w:r>
      <w:r w:rsidR="00517F26" w:rsidRPr="00DE48E3">
        <w:t>toxicity studies reviewed for the evaluation of human health effects</w:t>
      </w:r>
    </w:p>
    <w:tbl>
      <w:tblPr>
        <w:tblW w:w="21690" w:type="dxa"/>
        <w:tblInd w:w="-5" w:type="dxa"/>
        <w:tblLayout w:type="fixed"/>
        <w:tblLook w:val="04A0" w:firstRow="1" w:lastRow="0" w:firstColumn="1" w:lastColumn="0" w:noHBand="0" w:noVBand="1"/>
      </w:tblPr>
      <w:tblGrid>
        <w:gridCol w:w="1170"/>
        <w:gridCol w:w="1440"/>
        <w:gridCol w:w="4230"/>
        <w:gridCol w:w="2340"/>
        <w:gridCol w:w="9270"/>
        <w:gridCol w:w="3240"/>
      </w:tblGrid>
      <w:tr w:rsidR="006F121C" w:rsidRPr="004A774C" w14:paraId="3E2D1507" w14:textId="77777777" w:rsidTr="00242F52">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13C2" w14:textId="77777777" w:rsidR="00590F73" w:rsidRPr="004A774C" w:rsidRDefault="00590F73" w:rsidP="00F95A47">
            <w:pPr>
              <w:pStyle w:val="ITRCTableColumnHeading"/>
            </w:pPr>
            <w:r w:rsidRPr="004A774C">
              <w:t>Chemical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F7FF183" w14:textId="77777777" w:rsidR="00590F73" w:rsidRPr="004A774C" w:rsidRDefault="00590F73" w:rsidP="00F95A47">
            <w:pPr>
              <w:pStyle w:val="ITRCTableColumnHeading"/>
            </w:pPr>
            <w:r w:rsidRPr="004A774C">
              <w:t>Endpoint</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14:paraId="2A610821" w14:textId="77777777" w:rsidR="00590F73" w:rsidRPr="004A774C" w:rsidRDefault="00590F73" w:rsidP="00F95A47">
            <w:pPr>
              <w:pStyle w:val="ITRCTableColumnHeading"/>
            </w:pPr>
            <w:r w:rsidRPr="004A774C">
              <w:t>Dose/Duration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781B626" w14:textId="77777777" w:rsidR="00590F73" w:rsidRPr="004A774C" w:rsidRDefault="00590F73" w:rsidP="00F95A47">
            <w:pPr>
              <w:pStyle w:val="ITRCTableColumnHeading"/>
            </w:pPr>
            <w:r w:rsidRPr="004A774C">
              <w:t xml:space="preserve">Species </w:t>
            </w:r>
            <w:r w:rsidRPr="004A774C">
              <w:br/>
              <w:t>(number of test subjects)</w:t>
            </w:r>
          </w:p>
        </w:tc>
        <w:tc>
          <w:tcPr>
            <w:tcW w:w="9270" w:type="dxa"/>
            <w:tcBorders>
              <w:top w:val="single" w:sz="4" w:space="0" w:color="auto"/>
              <w:left w:val="nil"/>
              <w:bottom w:val="single" w:sz="4" w:space="0" w:color="auto"/>
              <w:right w:val="single" w:sz="4" w:space="0" w:color="auto"/>
            </w:tcBorders>
            <w:shd w:val="clear" w:color="auto" w:fill="auto"/>
            <w:vAlign w:val="center"/>
            <w:hideMark/>
          </w:tcPr>
          <w:p w14:paraId="7635B9AD" w14:textId="77777777" w:rsidR="00590F73" w:rsidRPr="004A774C" w:rsidRDefault="00590F73" w:rsidP="00F95A47">
            <w:pPr>
              <w:pStyle w:val="ITRCTableColumnHeading"/>
            </w:pPr>
            <w:r w:rsidRPr="004A774C">
              <w:t>Key Findings</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062114F1" w14:textId="77777777" w:rsidR="00590F73" w:rsidRPr="004A774C" w:rsidRDefault="00590F73" w:rsidP="00F95A47">
            <w:pPr>
              <w:pStyle w:val="ITRCTableColumnHeading"/>
            </w:pPr>
            <w:r w:rsidRPr="004A774C">
              <w:t>Reference</w:t>
            </w:r>
          </w:p>
        </w:tc>
      </w:tr>
      <w:tr w:rsidR="009D312B" w:rsidRPr="004A774C" w14:paraId="72BED94E"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8A2DAD7"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0AB2212E" w14:textId="77777777" w:rsidR="003841B3" w:rsidRPr="004A774C" w:rsidRDefault="003841B3" w:rsidP="000F7882">
            <w:pPr>
              <w:pStyle w:val="ITRCTableTextCentered"/>
            </w:pPr>
            <w:r w:rsidRPr="004A774C">
              <w:t>ADME</w:t>
            </w:r>
          </w:p>
        </w:tc>
        <w:tc>
          <w:tcPr>
            <w:tcW w:w="4230" w:type="dxa"/>
            <w:tcBorders>
              <w:top w:val="nil"/>
              <w:left w:val="nil"/>
              <w:bottom w:val="single" w:sz="4" w:space="0" w:color="auto"/>
              <w:right w:val="single" w:sz="4" w:space="0" w:color="auto"/>
            </w:tcBorders>
            <w:shd w:val="clear" w:color="auto" w:fill="EAF1DD" w:themeFill="accent3" w:themeFillTint="33"/>
            <w:noWrap/>
            <w:vAlign w:val="center"/>
            <w:hideMark/>
          </w:tcPr>
          <w:p w14:paraId="6EAFA897" w14:textId="77777777" w:rsidR="003841B3" w:rsidRPr="004A774C" w:rsidRDefault="003841B3" w:rsidP="000F7882">
            <w:pPr>
              <w:pStyle w:val="ITRCTableText"/>
            </w:pPr>
            <w:r w:rsidRPr="004A774C">
              <w:t>Hydrolysis rate of 6PPD in simulated gastric juice</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63E3A29D" w14:textId="77777777" w:rsidR="003841B3" w:rsidRPr="004A774C" w:rsidRDefault="003841B3" w:rsidP="000F7882">
            <w:pPr>
              <w:pStyle w:val="ITRCTableText"/>
            </w:pPr>
            <w:r w:rsidRPr="004A774C">
              <w:t>Not indicated</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2EE24152" w14:textId="77777777" w:rsidR="003841B3" w:rsidRDefault="003841B3" w:rsidP="000F7882">
            <w:pPr>
              <w:pStyle w:val="ITRCTableText"/>
            </w:pPr>
            <w:r w:rsidRPr="004A774C">
              <w:t>At the 48</w:t>
            </w:r>
            <w:r>
              <w:t>h</w:t>
            </w:r>
            <w:r w:rsidRPr="004A774C">
              <w:t xml:space="preserve"> observation period, 60% of 6PPD was hydrolyzed. The major hydrolysis product observed was aniline with two minor intermediate hydrolysis products identified: </w:t>
            </w:r>
            <w:bookmarkStart w:id="0" w:name="_Hlk168058027"/>
            <w:r w:rsidRPr="004A774C">
              <w:t>benzoquinone</w:t>
            </w:r>
            <w:r>
              <w:t xml:space="preserve"> </w:t>
            </w:r>
            <w:r w:rsidRPr="004A774C">
              <w:t>imine</w:t>
            </w:r>
            <w:bookmarkEnd w:id="0"/>
            <w:r w:rsidRPr="004A774C">
              <w:t>-N-phenyl and N-1,3 dimethyl-butylamine p-phenol.</w:t>
            </w:r>
          </w:p>
          <w:p w14:paraId="38F0A9ED" w14:textId="77777777" w:rsidR="003841B3" w:rsidRDefault="003841B3" w:rsidP="000F7882">
            <w:pPr>
              <w:pStyle w:val="ITRCTableText"/>
            </w:pPr>
            <w:r w:rsidRPr="004A774C">
              <w:t>hydrolysis rate</w:t>
            </w:r>
            <w:r>
              <w:t>:</w:t>
            </w:r>
            <w:r w:rsidRPr="004A774C">
              <w:t xml:space="preserve"> </w:t>
            </w:r>
            <w:r>
              <w:t>-</w:t>
            </w:r>
            <w:r w:rsidRPr="004A774C">
              <w:t>0.0188</w:t>
            </w:r>
          </w:p>
          <w:p w14:paraId="03B3B95A" w14:textId="77777777" w:rsidR="003841B3" w:rsidRPr="004A774C" w:rsidRDefault="003841B3" w:rsidP="000F7882">
            <w:pPr>
              <w:pStyle w:val="ITRCTableText"/>
            </w:pPr>
            <w:r w:rsidRPr="004A774C">
              <w:t>half-life</w:t>
            </w:r>
            <w:r>
              <w:t>:</w:t>
            </w:r>
            <w:r w:rsidRPr="004A774C">
              <w:t xml:space="preserve"> 36.9 hours</w:t>
            </w:r>
          </w:p>
        </w:tc>
        <w:tc>
          <w:tcPr>
            <w:tcW w:w="3240" w:type="dxa"/>
            <w:tcBorders>
              <w:top w:val="nil"/>
              <w:left w:val="nil"/>
              <w:bottom w:val="single" w:sz="4" w:space="0" w:color="auto"/>
              <w:right w:val="single" w:sz="4" w:space="0" w:color="auto"/>
            </w:tcBorders>
            <w:shd w:val="clear" w:color="auto" w:fill="EAF1DD" w:themeFill="accent3" w:themeFillTint="33"/>
            <w:hideMark/>
          </w:tcPr>
          <w:p w14:paraId="20DA536A" w14:textId="77777777" w:rsidR="003841B3" w:rsidRPr="004A774C" w:rsidRDefault="00A85D6C" w:rsidP="000F7882">
            <w:pPr>
              <w:pStyle w:val="ITRCTableText"/>
            </w:pPr>
            <w:hyperlink r:id="rId11" w:history="1">
              <w:r w:rsidR="003841B3" w:rsidRPr="009050E9">
                <w:rPr>
                  <w:rStyle w:val="Hyperlink"/>
                </w:rPr>
                <w:t>Anonymous (1986)</w:t>
              </w:r>
            </w:hyperlink>
            <w:r w:rsidR="003841B3">
              <w:t xml:space="preserve">, as referenced in </w:t>
            </w:r>
            <w:r w:rsidR="003841B3">
              <w:fldChar w:fldCharType="begin"/>
            </w:r>
            <w:r w:rsidR="003841B3">
              <w:instrText xml:space="preserve"> ADDIN ZOTERO_ITEM CSL_CITATION {"citationID":"QHFM4TTt","properties":{"formattedCitation":"(ECHA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p>
        </w:tc>
      </w:tr>
      <w:tr w:rsidR="009D312B" w:rsidRPr="004A774C" w14:paraId="55A5676B"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1EA37056"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7F195566" w14:textId="77777777" w:rsidR="003841B3" w:rsidRPr="004A774C" w:rsidRDefault="003841B3" w:rsidP="000F7882">
            <w:pPr>
              <w:pStyle w:val="ITRCTableTextCentered"/>
            </w:pPr>
            <w:r w:rsidRPr="004A774C">
              <w:t>ADME</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09EE392C" w14:textId="77777777" w:rsidR="003841B3" w:rsidRPr="004A774C" w:rsidRDefault="003841B3" w:rsidP="000F7882">
            <w:pPr>
              <w:pStyle w:val="ITRCTableText"/>
            </w:pPr>
            <w:r w:rsidRPr="004A774C">
              <w:t>Urine biomonitoring was conducted in April 2019 (one spot morning fasting sample per person).</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1313FE11" w14:textId="77777777" w:rsidR="003841B3" w:rsidRPr="004A774C" w:rsidRDefault="003841B3" w:rsidP="000F7882">
            <w:pPr>
              <w:pStyle w:val="ITRCTableText"/>
            </w:pPr>
            <w:r w:rsidRPr="004A774C">
              <w:t xml:space="preserve">Human (n=151 adults in </w:t>
            </w:r>
            <w:proofErr w:type="spellStart"/>
            <w:r w:rsidRPr="004A774C">
              <w:t>Quzhou</w:t>
            </w:r>
            <w:proofErr w:type="spellEnd"/>
            <w:r w:rsidRPr="004A774C">
              <w:t xml:space="preserve">, China; 58% were female; mean age 50 years </w:t>
            </w:r>
            <w:r>
              <w:t>[</w:t>
            </w:r>
            <w:r w:rsidRPr="004A774C">
              <w:t>male</w:t>
            </w:r>
            <w:r>
              <w:t>]</w:t>
            </w:r>
            <w:r w:rsidRPr="004A774C">
              <w:t xml:space="preserve"> and 46 years</w:t>
            </w:r>
            <w:r>
              <w:t xml:space="preserve"> [</w:t>
            </w:r>
            <w:r w:rsidRPr="004A774C">
              <w:t>female</w:t>
            </w:r>
            <w:r>
              <w:t>]</w:t>
            </w:r>
            <w:r w:rsidRPr="004A774C">
              <w:t>)</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010684AE" w14:textId="77777777" w:rsidR="003841B3" w:rsidRPr="004A774C" w:rsidRDefault="003841B3" w:rsidP="000F7882">
            <w:pPr>
              <w:pStyle w:val="ITRCTableText"/>
            </w:pPr>
            <w:r>
              <w:t>Nine</w:t>
            </w:r>
            <w:r w:rsidRPr="004A774C">
              <w:t xml:space="preserve"> PPDs, including 6PPD, were measured in human urine samples. Total concentrations of PPDs ranged from 0.41 to 38</w:t>
            </w:r>
            <w:r>
              <w:t> ng/</w:t>
            </w:r>
            <w:proofErr w:type="spellStart"/>
            <w:r>
              <w:t>mL</w:t>
            </w:r>
            <w:r w:rsidRPr="004A774C">
              <w:t>.</w:t>
            </w:r>
            <w:proofErr w:type="spellEnd"/>
            <w:r w:rsidRPr="004A774C">
              <w:t xml:space="preserve"> 6PPD was detected at the highest concentration (mean 1.2</w:t>
            </w:r>
            <w:r>
              <w:t> ng/mL</w:t>
            </w:r>
            <w:r w:rsidRPr="004A774C">
              <w:t>, range &lt; LOD–3.8</w:t>
            </w:r>
            <w:r>
              <w:t> ng/mL</w:t>
            </w:r>
            <w:r w:rsidRPr="004A774C">
              <w:t>) and exhibited the highest detection frequency (82%). Female adults exhibited significantly</w:t>
            </w:r>
            <w:r>
              <w:t xml:space="preserve"> </w:t>
            </w:r>
            <w:r w:rsidRPr="004A774C">
              <w:t>higher mean urinary concentrations than their male counterparts (1.4</w:t>
            </w:r>
            <w:r>
              <w:t> ± </w:t>
            </w:r>
            <w:r w:rsidRPr="004A774C">
              <w:t>0.29</w:t>
            </w:r>
            <w:r>
              <w:t> ng/mL</w:t>
            </w:r>
            <w:r w:rsidRPr="004A774C">
              <w:t xml:space="preserve"> compared to 1.0</w:t>
            </w:r>
            <w:r>
              <w:t> ± </w:t>
            </w:r>
            <w:r w:rsidRPr="004A774C">
              <w:t>0.18</w:t>
            </w:r>
            <w:r>
              <w:t> ng/mL</w:t>
            </w:r>
            <w:r w:rsidRPr="004A774C">
              <w:t>). In addition, urinary concentrations showed a general decreasing trend with the age of participants. Daily excretion rates for 6PPD were estimated as 34</w:t>
            </w:r>
            <w:r>
              <w:t> </w:t>
            </w:r>
            <w:r w:rsidRPr="004A774C">
              <w:t>ng/kg</w:t>
            </w:r>
            <w:r>
              <w:noBreakHyphen/>
            </w:r>
            <w:proofErr w:type="spellStart"/>
            <w:r w:rsidRPr="004A774C">
              <w:t>bw</w:t>
            </w:r>
            <w:proofErr w:type="spellEnd"/>
            <w:r w:rsidRPr="004A774C">
              <w:t>/day (mean value).</w:t>
            </w:r>
          </w:p>
        </w:tc>
        <w:tc>
          <w:tcPr>
            <w:tcW w:w="3240" w:type="dxa"/>
            <w:tcBorders>
              <w:top w:val="nil"/>
              <w:left w:val="nil"/>
              <w:bottom w:val="single" w:sz="4" w:space="0" w:color="auto"/>
              <w:right w:val="single" w:sz="4" w:space="0" w:color="auto"/>
            </w:tcBorders>
            <w:shd w:val="clear" w:color="auto" w:fill="EAF1DD" w:themeFill="accent3" w:themeFillTint="33"/>
            <w:hideMark/>
          </w:tcPr>
          <w:p w14:paraId="721CCB05" w14:textId="77777777" w:rsidR="003841B3" w:rsidRPr="004A774C" w:rsidRDefault="003841B3" w:rsidP="000F7882">
            <w:pPr>
              <w:pStyle w:val="ITRCTableText"/>
            </w:pPr>
            <w:r>
              <w:fldChar w:fldCharType="begin"/>
            </w:r>
            <w:r>
              <w:instrText xml:space="preserve"> ADDIN ZOTERO_ITEM CSL_CITATION {"citationID":"WeK730ny","properties":{"formattedCitation":"(Mao et al. 2024)","plainCitation":"(Mao et al. 2024)","noteIndex":0},"citationItems":[{"id":1778,"uris":["http://zotero.org/groups/4911552/items/MJI3WKBH"],"itemData":{"id":1778,"type":"article-journal","abstract":"General populations are widely exposed to various p-phenylenediamine antioxidants (PPDs). N-(1,3-dimethylbutyl)-N′-phenyl-p-phenylenediamine (6PPD), a typical p-phenylenediamine antioxidant, has been detected in human urine samples. However, the occurrence of other widely used PPDs in human urine is still unclear. This study comprehensively characterized the occurrence of 9 PPDs in human urine from 151 Chinese adults. Our results showed that all target PPDs were detected in human urine samples, with the total concentrations of PPDs ranging from 0.41 to 38 ng/mL. PPDs in human urine was dominated by 6PPD (mean 1.2 ng/mL, range &lt; LOD − 3.8 ng/mL), followed by N-phenyl-N′-cyclohexyl-p-phenylenediamine (CPPD; 0.85 ng/mL, &lt;LOD − 2.5 ng/mL) and (7PPD; 0.70 ng/mL, &lt;LOD − 2.3 ng/mL). Female participants (1.4 ± 0.29 and 1.0 ± 0.22 ng/mL, respectively) exhibited significantly higher (p &lt; 0.05) mean urinary concentrations of 6PPD and CPPD than male participants (1.0 ± 0.18 and 0.83 ± 0.18 ng/mL, respectively). Urinary concentrations of N, N′-diphenyl-p-phenylenediamine, CPPD, 7PPD, and 6PPD showed a general decreasing trend with the age of participants. In addition, daily excretion (DE) of PPDs in human urine was estimated, based on the urinary concentrations of detected PPDs. 6PPD had the highest mean DE (34 ng/kg bw/day), followed by CPPD (24 ng/kg bw/day) and 7PPD (19 ng/kg bw/day). To our knowledge, this study first reports the occurrence of 8 PPDs in human urine. More studies are needed to evaluate the toxic effects of human exposure to these PPDs.","container-title":"Science of the Total Environment","DOI":"10.1016/j.scitotenv.2024.170045","ISSN":"0048-9697","journalAbbreviation":"Science of the Total Environment","page":"170045","source":"ScienceDirect","title":"Occurrence of &lt;i&gt;&lt;span class=\"nocase\"&gt;p&lt;/span&gt;&lt;/i&gt;-phenylenediamine antioxidants in human urine","volume":"914","author":[{"family":"Mao","given":"Weili"},{"family":"Jin","given":"Hangbiao"},{"family":"Guo","given":"Ruyue"},{"family":"Chen","given":"Ping"},{"family":"Zhong","given":"Songyang"},{"family":"Wu","given":"Xilin"}],"issued":{"date-parts":[["2024",3,1]]}},"label":"page"}],"schema":"https://github.com/citation-style-language/schema/raw/master/csl-citation.json"} </w:instrText>
            </w:r>
            <w:r>
              <w:fldChar w:fldCharType="separate"/>
            </w:r>
            <w:r w:rsidRPr="00973D62">
              <w:t>(Mao et al. 2024)</w:t>
            </w:r>
            <w:r>
              <w:fldChar w:fldCharType="end"/>
            </w:r>
            <w:r>
              <w:br/>
              <w:t xml:space="preserve">DOI: </w:t>
            </w:r>
            <w:hyperlink r:id="rId12" w:history="1">
              <w:r>
                <w:rPr>
                  <w:rStyle w:val="Hyperlink"/>
                </w:rPr>
                <w:t>10.1016/j.scitotenv.2024.170045</w:t>
              </w:r>
            </w:hyperlink>
          </w:p>
        </w:tc>
      </w:tr>
      <w:tr w:rsidR="009D312B" w:rsidRPr="004A774C" w14:paraId="5EA77D76"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57D48C4"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725D5952" w14:textId="77777777" w:rsidR="003841B3" w:rsidRPr="004A774C" w:rsidRDefault="003841B3" w:rsidP="000F7882">
            <w:pPr>
              <w:pStyle w:val="ITRCTableTextCentered"/>
            </w:pPr>
            <w:r w:rsidRPr="004A774C">
              <w:t>Acute 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0238A1FE" w14:textId="77777777" w:rsidR="003841B3" w:rsidRPr="004A774C" w:rsidRDefault="003841B3" w:rsidP="000F7882">
            <w:pPr>
              <w:pStyle w:val="ITRCTableText"/>
            </w:pPr>
            <w:r w:rsidRPr="004A774C">
              <w:t xml:space="preserve">In an OECD </w:t>
            </w:r>
            <w:r>
              <w:t>G</w:t>
            </w:r>
            <w:r w:rsidRPr="004A774C">
              <w:t>uideline 401 (acute toxicity study) male and female Sprague-Dawley rats were exposed to 6PPD in corn oil via oral gavage at the following doses: 0, 250, 500, 1</w:t>
            </w:r>
            <w:r>
              <w:t>,</w:t>
            </w:r>
            <w:r w:rsidRPr="004A774C">
              <w:t>000, and 2</w:t>
            </w:r>
            <w:r>
              <w:t>,</w:t>
            </w:r>
            <w:r w:rsidRPr="004A774C">
              <w:t>000</w:t>
            </w:r>
            <w:r>
              <w:t> mg/kg</w:t>
            </w:r>
            <w:r>
              <w:noBreakHyphen/>
            </w:r>
            <w:proofErr w:type="spellStart"/>
            <w:r>
              <w:t>bw</w:t>
            </w:r>
            <w:proofErr w:type="spellEnd"/>
            <w:r w:rsidRPr="004A774C">
              <w:t>.</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51AB42D9" w14:textId="77777777" w:rsidR="003841B3" w:rsidRPr="004A774C" w:rsidRDefault="003841B3" w:rsidP="000F7882">
            <w:pPr>
              <w:pStyle w:val="ITRCTableText"/>
            </w:pPr>
            <w:r w:rsidRPr="004A774C">
              <w:t>Sprague-Dawley rat (n=5 per sex per dose)</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323053CE" w14:textId="77777777" w:rsidR="003841B3" w:rsidRDefault="003841B3" w:rsidP="000F7882">
            <w:pPr>
              <w:pStyle w:val="ITRCTableText"/>
            </w:pPr>
            <w:r w:rsidRPr="004A774C">
              <w:t>The acute oral LD</w:t>
            </w:r>
            <w:r w:rsidRPr="004A774C">
              <w:rPr>
                <w:vertAlign w:val="subscript"/>
              </w:rPr>
              <w:t>50</w:t>
            </w:r>
            <w:r w:rsidRPr="004A774C">
              <w:t xml:space="preserve"> was reported as 893</w:t>
            </w:r>
            <w:r>
              <w:t> mg/kg</w:t>
            </w:r>
            <w:r>
              <w:noBreakHyphen/>
            </w:r>
            <w:proofErr w:type="spellStart"/>
            <w:r>
              <w:t>bw</w:t>
            </w:r>
            <w:proofErr w:type="spellEnd"/>
            <w:r w:rsidRPr="004A774C">
              <w:t>/day for females and 1</w:t>
            </w:r>
            <w:r>
              <w:t>,</w:t>
            </w:r>
            <w:r w:rsidRPr="004A774C">
              <w:t>005</w:t>
            </w:r>
            <w:r>
              <w:t> mg/kg</w:t>
            </w:r>
            <w:r>
              <w:noBreakHyphen/>
            </w:r>
            <w:proofErr w:type="spellStart"/>
            <w:r>
              <w:t>bw</w:t>
            </w:r>
            <w:proofErr w:type="spellEnd"/>
            <w:r w:rsidRPr="004A774C">
              <w:t>/day for males based on clinical signs and pathological lesions in digestive organs and respiratory system.</w:t>
            </w:r>
          </w:p>
          <w:p w14:paraId="030BCF92" w14:textId="77777777" w:rsidR="003841B3" w:rsidRDefault="003841B3" w:rsidP="000F7882">
            <w:pPr>
              <w:pStyle w:val="ITRCTableText"/>
            </w:pPr>
            <w:r w:rsidRPr="004A774C">
              <w:t>Clinical signs included</w:t>
            </w:r>
            <w:r>
              <w:t xml:space="preserve"> </w:t>
            </w:r>
            <w:r w:rsidRPr="004A774C">
              <w:t>reduced volume of feces (500</w:t>
            </w:r>
            <w:r>
              <w:t> mg/kg</w:t>
            </w:r>
            <w:r w:rsidRPr="004A774C">
              <w:t xml:space="preserve"> dose for male and females);</w:t>
            </w:r>
            <w:r>
              <w:t xml:space="preserve"> </w:t>
            </w:r>
            <w:r w:rsidRPr="004A774C">
              <w:t xml:space="preserve">hypoactivity, diarrhea, bradypnea, hypothermia, </w:t>
            </w:r>
            <w:r>
              <w:t xml:space="preserve">and </w:t>
            </w:r>
            <w:r w:rsidRPr="004A774C">
              <w:t>prone position (1</w:t>
            </w:r>
            <w:r>
              <w:t>,</w:t>
            </w:r>
            <w:r w:rsidRPr="004A774C">
              <w:t>000</w:t>
            </w:r>
            <w:r>
              <w:t> mg/kg</w:t>
            </w:r>
            <w:r w:rsidRPr="004A774C">
              <w:t xml:space="preserve"> dose);</w:t>
            </w:r>
            <w:r>
              <w:t xml:space="preserve"> and </w:t>
            </w:r>
            <w:r w:rsidRPr="004A774C">
              <w:t>abnormal gait, lacrimation, and weakness of limbs (2</w:t>
            </w:r>
            <w:r>
              <w:t>,</w:t>
            </w:r>
            <w:r w:rsidRPr="004A774C">
              <w:t>000</w:t>
            </w:r>
            <w:r>
              <w:t> mg/kg</w:t>
            </w:r>
            <w:r w:rsidRPr="004A774C">
              <w:t xml:space="preserve"> dose).</w:t>
            </w:r>
          </w:p>
          <w:p w14:paraId="7726BD52" w14:textId="77777777" w:rsidR="003841B3" w:rsidRPr="004A774C" w:rsidRDefault="003841B3" w:rsidP="000F7882">
            <w:pPr>
              <w:pStyle w:val="ITRCTableText"/>
            </w:pPr>
            <w:r>
              <w:t>M</w:t>
            </w:r>
            <w:r w:rsidRPr="004A774C">
              <w:t xml:space="preserve">ale rats were less sensitive than female rats. </w:t>
            </w:r>
          </w:p>
        </w:tc>
        <w:tc>
          <w:tcPr>
            <w:tcW w:w="3240" w:type="dxa"/>
            <w:tcBorders>
              <w:top w:val="nil"/>
              <w:left w:val="nil"/>
              <w:bottom w:val="single" w:sz="4" w:space="0" w:color="auto"/>
              <w:right w:val="single" w:sz="4" w:space="0" w:color="auto"/>
            </w:tcBorders>
            <w:shd w:val="clear" w:color="auto" w:fill="EAF1DD" w:themeFill="accent3" w:themeFillTint="33"/>
            <w:hideMark/>
          </w:tcPr>
          <w:p w14:paraId="2439F638" w14:textId="77777777" w:rsidR="003841B3" w:rsidRPr="004A774C" w:rsidRDefault="003841B3" w:rsidP="000F7882">
            <w:pPr>
              <w:pStyle w:val="ITRCTableText"/>
            </w:pPr>
            <w:r>
              <w:fldChar w:fldCharType="begin"/>
            </w:r>
            <w:r>
              <w:instrText xml:space="preserve"> ADDIN ZOTERO_ITEM CSL_CITATION {"citationID":"o5U2A7cH","properties":{"formattedCitation":"(Hatano Research Institute 1999)","plainCitation":"(Hatano Research Institute 1999)","noteIndex":0},"citationItems":[{"id":2576,"uris":["http://zotero.org/groups/4911552/items/46ZRB487"],"itemData":{"id":2576,"type":"report","collection-title":"Toxicity Testing Reports of Environmental Chemicals 7","page":"513-516","title":"N-(1,3- Dimethylbutyl)-N’-phenyl-p-phenylenediamine – Summary","URL":"https://dra4.nihs.go.jp/mhlw_data/home/file/file793-24-8.html","author":[{"family":"Hatano Research Institute","given":""}],"issued":{"date-parts":[["1999"]]}}}],"schema":"https://github.com/citation-style-language/schema/raw/master/csl-citation.json"} </w:instrText>
            </w:r>
            <w:r>
              <w:fldChar w:fldCharType="separate"/>
            </w:r>
            <w:r w:rsidRPr="002901E2">
              <w:t>(Hatano Research Institute 1999)</w:t>
            </w:r>
            <w:r>
              <w:fldChar w:fldCharType="end"/>
            </w:r>
            <w:r>
              <w:t xml:space="preserve">, as cited in </w:t>
            </w:r>
            <w:r>
              <w:fldChar w:fldCharType="begin"/>
            </w:r>
            <w:r>
              <w:instrText xml:space="preserve"> ADDIN ZOTERO_ITEM CSL_CITATION {"citationID":"95hi3WVO","properties":{"formattedCitation":"(ECHA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fldChar w:fldCharType="separate"/>
            </w:r>
            <w:r w:rsidRPr="00B04987">
              <w:t>(ECHA 2023)</w:t>
            </w:r>
            <w:r>
              <w:fldChar w:fldCharType="end"/>
            </w:r>
            <w:r>
              <w:t xml:space="preserve"> as </w:t>
            </w:r>
            <w:r>
              <w:br/>
              <w:t>“</w:t>
            </w:r>
            <w:hyperlink r:id="rId13" w:history="1">
              <w:r w:rsidRPr="00B04987">
                <w:rPr>
                  <w:rStyle w:val="Hyperlink"/>
                </w:rPr>
                <w:t>Anonymous, 1999b</w:t>
              </w:r>
            </w:hyperlink>
            <w:r>
              <w:t xml:space="preserve">” and </w:t>
            </w:r>
            <w:r>
              <w:fldChar w:fldCharType="begin"/>
            </w:r>
            <w:r>
              <w:instrText xml:space="preserve"> ADDIN ZOTERO_ITEM CSL_CITATION {"citationID":"4wBUIM1Z","properties":{"formattedCitation":"(OECD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Pr="00B04987">
              <w:t>(OECD 2004)</w:t>
            </w:r>
            <w:r>
              <w:fldChar w:fldCharType="end"/>
            </w:r>
          </w:p>
        </w:tc>
      </w:tr>
      <w:tr w:rsidR="009D312B" w:rsidRPr="004A774C" w14:paraId="3E478BCA"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A84FDC5"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3B08499B" w14:textId="77777777" w:rsidR="003841B3" w:rsidRPr="004A774C" w:rsidRDefault="003841B3" w:rsidP="000F7882">
            <w:pPr>
              <w:pStyle w:val="ITRCTableTextCentered"/>
            </w:pPr>
            <w:r w:rsidRPr="004A774C">
              <w:t>Acute 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47FC8D62" w14:textId="26BC2F46" w:rsidR="003841B3" w:rsidRPr="004A774C" w:rsidRDefault="003841B3" w:rsidP="000F7882">
            <w:pPr>
              <w:pStyle w:val="ITRCTableText"/>
            </w:pPr>
            <w:r w:rsidRPr="004A774C">
              <w:t xml:space="preserve">An acute oral toxicity study was conducted under </w:t>
            </w:r>
            <w:r w:rsidR="00716BCA">
              <w:t>Good Laboratory Practice</w:t>
            </w:r>
            <w:r w:rsidR="00716BCA" w:rsidRPr="004A774C">
              <w:t xml:space="preserve"> </w:t>
            </w:r>
            <w:r w:rsidRPr="004A774C">
              <w:t xml:space="preserve">according to </w:t>
            </w:r>
            <w:r>
              <w:t>US</w:t>
            </w:r>
            <w:r w:rsidRPr="004A774C">
              <w:t>EPA OTS 798.1175 (Acute Oral Toxicity). A dose-range finding study was conducted up to 5</w:t>
            </w:r>
            <w:r>
              <w:t>,</w:t>
            </w:r>
            <w:r w:rsidRPr="004A774C">
              <w:t>000</w:t>
            </w:r>
            <w:r>
              <w:t> mg/kg</w:t>
            </w:r>
            <w:r>
              <w:noBreakHyphen/>
            </w:r>
            <w:proofErr w:type="spellStart"/>
            <w:r>
              <w:t>bw</w:t>
            </w:r>
            <w:proofErr w:type="spellEnd"/>
            <w:r w:rsidRPr="004A774C">
              <w:t>. Based on the range-finding test, a single oral dose of 5</w:t>
            </w:r>
            <w:r>
              <w:t>,</w:t>
            </w:r>
            <w:r w:rsidRPr="004A774C">
              <w:t>000</w:t>
            </w:r>
            <w:r>
              <w:t> mg/kg</w:t>
            </w:r>
            <w:r>
              <w:noBreakHyphen/>
            </w:r>
            <w:proofErr w:type="spellStart"/>
            <w:r>
              <w:t>bw</w:t>
            </w:r>
            <w:proofErr w:type="spellEnd"/>
            <w:r w:rsidRPr="004A774C">
              <w:t xml:space="preserve"> was tested. Following dosing, the rats were observed daily and weighed weekly.</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3EC8CCC8" w14:textId="77777777" w:rsidR="003841B3" w:rsidRPr="004A774C" w:rsidRDefault="003841B3" w:rsidP="000F7882">
            <w:pPr>
              <w:pStyle w:val="ITRCTableText"/>
            </w:pPr>
            <w:r w:rsidRPr="004A774C">
              <w:t>Sprague-Dawley rat (n=5 per sex per dose)</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3864E8E0" w14:textId="77777777" w:rsidR="003841B3" w:rsidRPr="004A774C" w:rsidRDefault="003841B3" w:rsidP="000F7882">
            <w:pPr>
              <w:pStyle w:val="ITRCTableText"/>
            </w:pPr>
            <w:r w:rsidRPr="004A774C">
              <w:t>Based on findings from this study</w:t>
            </w:r>
            <w:r>
              <w:t>,</w:t>
            </w:r>
            <w:r w:rsidRPr="004A774C">
              <w:t xml:space="preserve"> an acute oral LD</w:t>
            </w:r>
            <w:r w:rsidRPr="004A774C">
              <w:rPr>
                <w:vertAlign w:val="subscript"/>
              </w:rPr>
              <w:t>50</w:t>
            </w:r>
            <w:r w:rsidRPr="004A774C">
              <w:t xml:space="preserve"> greater than 5</w:t>
            </w:r>
            <w:r>
              <w:t>,</w:t>
            </w:r>
            <w:r w:rsidRPr="004A774C">
              <w:t>000</w:t>
            </w:r>
            <w:r>
              <w:t> mg/kg</w:t>
            </w:r>
            <w:r>
              <w:noBreakHyphen/>
            </w:r>
            <w:proofErr w:type="spellStart"/>
            <w:r>
              <w:t>bw</w:t>
            </w:r>
            <w:proofErr w:type="spellEnd"/>
            <w:r w:rsidRPr="004A774C">
              <w:t xml:space="preserve"> was estimated for males and females. The basis of the LD</w:t>
            </w:r>
            <w:r w:rsidRPr="004A774C">
              <w:rPr>
                <w:vertAlign w:val="subscript"/>
              </w:rPr>
              <w:t>50</w:t>
            </w:r>
            <w:r w:rsidRPr="004A774C">
              <w:t xml:space="preserve"> was clinical signs including decreased fecal output, fecal/urine stains, rough coat, piloerection, diarrhea/soft stools</w:t>
            </w:r>
            <w:r>
              <w:t>,</w:t>
            </w:r>
            <w:r w:rsidRPr="004A774C">
              <w:t xml:space="preserve"> and dark material around the facial area.</w:t>
            </w:r>
          </w:p>
        </w:tc>
        <w:tc>
          <w:tcPr>
            <w:tcW w:w="3240" w:type="dxa"/>
            <w:tcBorders>
              <w:top w:val="nil"/>
              <w:left w:val="nil"/>
              <w:bottom w:val="single" w:sz="4" w:space="0" w:color="auto"/>
              <w:right w:val="single" w:sz="4" w:space="0" w:color="auto"/>
            </w:tcBorders>
            <w:shd w:val="clear" w:color="auto" w:fill="EAF1DD" w:themeFill="accent3" w:themeFillTint="33"/>
            <w:hideMark/>
          </w:tcPr>
          <w:p w14:paraId="1246B983" w14:textId="77777777" w:rsidR="003841B3" w:rsidRPr="004A774C" w:rsidRDefault="00A85D6C" w:rsidP="000F7882">
            <w:pPr>
              <w:pStyle w:val="ITRCTableText"/>
            </w:pPr>
            <w:hyperlink r:id="rId14" w:history="1">
              <w:r w:rsidR="003841B3" w:rsidRPr="009050E9">
                <w:rPr>
                  <w:rStyle w:val="Hyperlink"/>
                </w:rPr>
                <w:t>Anonymous (19</w:t>
              </w:r>
              <w:r w:rsidR="003841B3">
                <w:rPr>
                  <w:rStyle w:val="Hyperlink"/>
                </w:rPr>
                <w:t>91</w:t>
              </w:r>
              <w:r w:rsidR="003841B3" w:rsidRPr="009050E9">
                <w:rPr>
                  <w:rStyle w:val="Hyperlink"/>
                </w:rPr>
                <w:t>)</w:t>
              </w:r>
            </w:hyperlink>
            <w:r w:rsidR="003841B3">
              <w:t xml:space="preserve">, as referenced in </w:t>
            </w:r>
            <w:r w:rsidR="003841B3">
              <w:fldChar w:fldCharType="begin"/>
            </w:r>
            <w:r w:rsidR="003841B3">
              <w:instrText xml:space="preserve"> ADDIN ZOTERO_ITEM CSL_CITATION {"citationID":"NKVyYYVT","properties":{"formattedCitation":"(ECHA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p>
        </w:tc>
      </w:tr>
      <w:tr w:rsidR="009D312B" w:rsidRPr="004A774C" w14:paraId="09524909"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9CA9CDF"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4CF104B5" w14:textId="77777777" w:rsidR="003841B3" w:rsidRPr="004A774C" w:rsidRDefault="003841B3" w:rsidP="000F7882">
            <w:pPr>
              <w:pStyle w:val="ITRCTableTextCentered"/>
            </w:pPr>
            <w:r w:rsidRPr="004A774C">
              <w:t>Acute 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554E6A98" w14:textId="77777777" w:rsidR="003841B3" w:rsidRPr="004A774C" w:rsidRDefault="003841B3" w:rsidP="000F7882">
            <w:pPr>
              <w:pStyle w:val="ITRCTableText"/>
            </w:pPr>
            <w:r w:rsidRPr="004A774C">
              <w:t xml:space="preserve">In an acute dermal toxicity study, male and female New Zealand White rabbits were exposed to </w:t>
            </w:r>
            <w:r>
              <w:t xml:space="preserve">2,150, </w:t>
            </w:r>
            <w:r w:rsidRPr="004A774C">
              <w:t>3</w:t>
            </w:r>
            <w:r>
              <w:t>,</w:t>
            </w:r>
            <w:r w:rsidRPr="004A774C">
              <w:t>160, 5</w:t>
            </w:r>
            <w:r>
              <w:t>,</w:t>
            </w:r>
            <w:r w:rsidRPr="004A774C">
              <w:t>010, or 7</w:t>
            </w:r>
            <w:r>
              <w:t>,</w:t>
            </w:r>
            <w:r w:rsidRPr="004A774C">
              <w:t>940</w:t>
            </w:r>
            <w:r>
              <w:t> mg/kg</w:t>
            </w:r>
            <w:r>
              <w:noBreakHyphen/>
            </w:r>
            <w:proofErr w:type="spellStart"/>
            <w:r>
              <w:t>bw</w:t>
            </w:r>
            <w:proofErr w:type="spellEnd"/>
            <w:r w:rsidRPr="004A774C">
              <w:t xml:space="preserve"> of 6PPD undiluted via </w:t>
            </w:r>
            <w:proofErr w:type="spellStart"/>
            <w:r w:rsidRPr="004A774C">
              <w:t>semiocclusive</w:t>
            </w:r>
            <w:proofErr w:type="spellEnd"/>
            <w:r w:rsidRPr="004A774C">
              <w:t xml:space="preserve"> dermal exposure for 24 hours.</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3C5C3710" w14:textId="77777777" w:rsidR="003841B3" w:rsidRPr="004A774C" w:rsidRDefault="003841B3" w:rsidP="000F7882">
            <w:pPr>
              <w:pStyle w:val="ITRCTableText"/>
            </w:pPr>
            <w:r w:rsidRPr="004A774C">
              <w:t>New Zealand White rabbits</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38B94598" w14:textId="77777777" w:rsidR="003841B3" w:rsidRPr="004A774C" w:rsidRDefault="003841B3" w:rsidP="000F7882">
            <w:pPr>
              <w:pStyle w:val="ITRCTableText"/>
            </w:pPr>
            <w:r w:rsidRPr="004A774C">
              <w:t>The dermal LD</w:t>
            </w:r>
            <w:r w:rsidRPr="004A774C">
              <w:rPr>
                <w:vertAlign w:val="subscript"/>
              </w:rPr>
              <w:t>50</w:t>
            </w:r>
            <w:r w:rsidRPr="004A774C">
              <w:t xml:space="preserve"> was reported as &gt;7</w:t>
            </w:r>
            <w:r>
              <w:t>,</w:t>
            </w:r>
            <w:r w:rsidRPr="004A774C">
              <w:t>940</w:t>
            </w:r>
            <w:r>
              <w:t> mg/kg</w:t>
            </w:r>
            <w:r>
              <w:noBreakHyphen/>
            </w:r>
            <w:proofErr w:type="spellStart"/>
            <w:r>
              <w:t>bw</w:t>
            </w:r>
            <w:proofErr w:type="spellEnd"/>
            <w:r w:rsidRPr="004A774C">
              <w:t>/day based on reduced appetite and reduced activity for three to seven days. At necropsy viscera appeared normal.</w:t>
            </w:r>
          </w:p>
        </w:tc>
        <w:tc>
          <w:tcPr>
            <w:tcW w:w="3240" w:type="dxa"/>
            <w:tcBorders>
              <w:top w:val="nil"/>
              <w:left w:val="nil"/>
              <w:bottom w:val="single" w:sz="4" w:space="0" w:color="auto"/>
              <w:right w:val="single" w:sz="4" w:space="0" w:color="auto"/>
            </w:tcBorders>
            <w:shd w:val="clear" w:color="auto" w:fill="EAF1DD" w:themeFill="accent3" w:themeFillTint="33"/>
            <w:hideMark/>
          </w:tcPr>
          <w:p w14:paraId="36AF9776" w14:textId="77777777" w:rsidR="003841B3" w:rsidRPr="004A774C" w:rsidRDefault="00A85D6C" w:rsidP="000F7882">
            <w:pPr>
              <w:pStyle w:val="ITRCTableText"/>
            </w:pPr>
            <w:hyperlink r:id="rId15" w:history="1">
              <w:r w:rsidR="003841B3" w:rsidRPr="009050E9">
                <w:rPr>
                  <w:rStyle w:val="Hyperlink"/>
                </w:rPr>
                <w:t>Anonymous (19</w:t>
              </w:r>
              <w:r w:rsidR="003841B3">
                <w:rPr>
                  <w:rStyle w:val="Hyperlink"/>
                </w:rPr>
                <w:t>73</w:t>
              </w:r>
              <w:r w:rsidR="003841B3" w:rsidRPr="009050E9">
                <w:rPr>
                  <w:rStyle w:val="Hyperlink"/>
                </w:rPr>
                <w:t>)</w:t>
              </w:r>
            </w:hyperlink>
            <w:r w:rsidR="003841B3">
              <w:t xml:space="preserve"> and </w:t>
            </w:r>
            <w:hyperlink r:id="rId16" w:history="1">
              <w:r w:rsidR="003841B3" w:rsidRPr="005B00D0">
                <w:rPr>
                  <w:rStyle w:val="Hyperlink"/>
                </w:rPr>
                <w:t>Randall and Bannister (1990)</w:t>
              </w:r>
            </w:hyperlink>
            <w:r w:rsidR="003841B3">
              <w:t xml:space="preserve">, as referenced in </w:t>
            </w:r>
            <w:r w:rsidR="003841B3">
              <w:fldChar w:fldCharType="begin"/>
            </w:r>
            <w:r w:rsidR="003841B3">
              <w:instrText xml:space="preserve"> ADDIN ZOTERO_ITEM CSL_CITATION {"citationID":"0py7Hmyy","properties":{"formattedCitation":"(ECHA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r w:rsidR="003841B3">
              <w:t>.</w:t>
            </w:r>
          </w:p>
        </w:tc>
      </w:tr>
      <w:tr w:rsidR="009D312B" w:rsidRPr="004A774C" w14:paraId="6E740763"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4C89677"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0E4135EA" w14:textId="77777777" w:rsidR="003841B3" w:rsidRPr="004A774C" w:rsidRDefault="003841B3" w:rsidP="000F7882">
            <w:pPr>
              <w:pStyle w:val="ITRCTableTextCentered"/>
            </w:pPr>
            <w:r w:rsidRPr="004A774C">
              <w:t>Skin irritation</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76BE0DF3" w14:textId="3FFA4A4E" w:rsidR="003841B3" w:rsidRPr="004A774C" w:rsidRDefault="003841B3" w:rsidP="000F7882">
            <w:pPr>
              <w:pStyle w:val="ITRCTableText"/>
            </w:pPr>
            <w:r w:rsidRPr="004A774C">
              <w:t>In a dermal irritation study, male and female albino New Zealand White rabbits were exposed to undiluted 6PPD (500</w:t>
            </w:r>
            <w:r>
              <w:t> </w:t>
            </w:r>
            <w:r w:rsidR="00192AF8">
              <w:t>mL</w:t>
            </w:r>
            <w:r w:rsidRPr="004A774C">
              <w:t xml:space="preserve"> warmed to 46</w:t>
            </w:r>
            <w:r>
              <w:t>°</w:t>
            </w:r>
            <w:r w:rsidRPr="004A774C">
              <w:t>C to liquefy) via semi-occlusive dressings to clipped intact and abraded skin at a concentration of 0.5</w:t>
            </w:r>
            <w:r>
              <w:t> </w:t>
            </w:r>
            <w:r w:rsidR="00192AF8">
              <w:t>mL</w:t>
            </w:r>
            <w:r w:rsidRPr="004A774C">
              <w:t xml:space="preserve"> for 24</w:t>
            </w:r>
            <w:r>
              <w:t>h</w:t>
            </w:r>
            <w:r w:rsidRPr="004A774C">
              <w:t>. The rabbits were observed for 7</w:t>
            </w:r>
            <w:r>
              <w:t> </w:t>
            </w:r>
            <w:r w:rsidRPr="004A774C">
              <w:t>days.</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742A091A" w14:textId="77777777" w:rsidR="003841B3" w:rsidRPr="004A774C" w:rsidRDefault="003841B3" w:rsidP="000F7882">
            <w:pPr>
              <w:pStyle w:val="ITRCTableText"/>
            </w:pPr>
            <w:r w:rsidRPr="004A774C">
              <w:t>New Zealand White rabbits (n=6)</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0BAC24F5" w14:textId="77777777" w:rsidR="003841B3" w:rsidRPr="004A774C" w:rsidRDefault="003841B3" w:rsidP="000F7882">
            <w:pPr>
              <w:pStyle w:val="ITRCTableText"/>
            </w:pPr>
            <w:r w:rsidRPr="004A774C">
              <w:t>The mean overall irritation score was reported as 0/8 based on no effects observed.</w:t>
            </w:r>
          </w:p>
        </w:tc>
        <w:tc>
          <w:tcPr>
            <w:tcW w:w="3240" w:type="dxa"/>
            <w:tcBorders>
              <w:top w:val="nil"/>
              <w:left w:val="nil"/>
              <w:bottom w:val="single" w:sz="4" w:space="0" w:color="auto"/>
              <w:right w:val="single" w:sz="4" w:space="0" w:color="auto"/>
            </w:tcBorders>
            <w:shd w:val="clear" w:color="auto" w:fill="EAF1DD" w:themeFill="accent3" w:themeFillTint="33"/>
            <w:hideMark/>
          </w:tcPr>
          <w:p w14:paraId="66127DE1" w14:textId="77777777" w:rsidR="003841B3" w:rsidRPr="004A774C" w:rsidRDefault="00A85D6C" w:rsidP="000F7882">
            <w:pPr>
              <w:pStyle w:val="ITRCTableText"/>
            </w:pPr>
            <w:hyperlink r:id="rId17" w:history="1">
              <w:r w:rsidR="003841B3" w:rsidRPr="009050E9">
                <w:rPr>
                  <w:rStyle w:val="Hyperlink"/>
                </w:rPr>
                <w:t>Anonymous (19</w:t>
              </w:r>
              <w:r w:rsidR="003841B3">
                <w:rPr>
                  <w:rStyle w:val="Hyperlink"/>
                </w:rPr>
                <w:t>73</w:t>
              </w:r>
              <w:r w:rsidR="003841B3" w:rsidRPr="009050E9">
                <w:rPr>
                  <w:rStyle w:val="Hyperlink"/>
                </w:rPr>
                <w:t>)</w:t>
              </w:r>
            </w:hyperlink>
            <w:r w:rsidR="003841B3">
              <w:t xml:space="preserve"> and </w:t>
            </w:r>
            <w:hyperlink r:id="rId18" w:history="1">
              <w:r w:rsidR="003841B3" w:rsidRPr="005B00D0">
                <w:rPr>
                  <w:rStyle w:val="Hyperlink"/>
                </w:rPr>
                <w:t>Randall and Bannister (1990)</w:t>
              </w:r>
            </w:hyperlink>
            <w:r w:rsidR="003841B3">
              <w:t xml:space="preserve">, as referenced in </w:t>
            </w:r>
            <w:r w:rsidR="003841B3">
              <w:fldChar w:fldCharType="begin"/>
            </w:r>
            <w:r w:rsidR="003841B3">
              <w:instrText xml:space="preserve"> ADDIN ZOTERO_ITEM CSL_CITATION {"citationID":"j2PXvTcZ","properties":{"formattedCitation":"(ECHA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r w:rsidR="003841B3">
              <w:t>.</w:t>
            </w:r>
          </w:p>
        </w:tc>
      </w:tr>
      <w:tr w:rsidR="009D312B" w:rsidRPr="004A774C" w14:paraId="244703D3"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44C5B52" w14:textId="77777777" w:rsidR="003841B3" w:rsidRPr="004A774C" w:rsidRDefault="003841B3" w:rsidP="000F7882">
            <w:pPr>
              <w:pStyle w:val="ITRCTableTextCentered"/>
            </w:pPr>
            <w:r w:rsidRPr="004A774C">
              <w:lastRenderedPageBreak/>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30584A75" w14:textId="77777777" w:rsidR="003841B3" w:rsidRPr="004A774C" w:rsidRDefault="003841B3" w:rsidP="000F7882">
            <w:pPr>
              <w:pStyle w:val="ITRCTableTextCentered"/>
            </w:pPr>
            <w:r w:rsidRPr="004A774C">
              <w:t>Skin irritation</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462D331C" w14:textId="77777777" w:rsidR="003841B3" w:rsidRPr="004A774C" w:rsidRDefault="003841B3" w:rsidP="000F7882">
            <w:pPr>
              <w:pStyle w:val="ITRCTableText"/>
            </w:pPr>
            <w:r w:rsidRPr="004A774C">
              <w:t>A Draize test was conducted using rabbits (strain not specified) exposed to undiluted 6PPD via occlusive dermal exposure for 24</w:t>
            </w:r>
            <w:r>
              <w:t>h</w:t>
            </w:r>
            <w:r w:rsidRPr="004A774C">
              <w:t>. The rabbits were observed for 120</w:t>
            </w:r>
            <w:r>
              <w:t>h</w:t>
            </w:r>
            <w:r w:rsidRPr="004A774C">
              <w:t xml:space="preserve">. </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4F0E9363" w14:textId="77777777" w:rsidR="003841B3" w:rsidRPr="004A774C" w:rsidRDefault="003841B3" w:rsidP="000F7882">
            <w:pPr>
              <w:pStyle w:val="ITRCTableText"/>
            </w:pPr>
            <w:r w:rsidRPr="004A774C">
              <w:t>Unspecified strain of rabbits (n=3)</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7D390B1D" w14:textId="77777777" w:rsidR="003841B3" w:rsidRPr="004A774C" w:rsidRDefault="003841B3" w:rsidP="000F7882">
            <w:pPr>
              <w:pStyle w:val="ITRCTableText"/>
            </w:pPr>
            <w:r w:rsidRPr="004A774C">
              <w:t>The mean overall irritation score was reported as 0.6/8 for the 4</w:t>
            </w:r>
            <w:r>
              <w:t>h</w:t>
            </w:r>
            <w:r w:rsidRPr="004A774C">
              <w:t xml:space="preserve"> observation timepoint. At the 24</w:t>
            </w:r>
            <w:r>
              <w:t>h</w:t>
            </w:r>
            <w:r w:rsidRPr="004A774C">
              <w:t xml:space="preserve"> observation timepoint, very slight to well</w:t>
            </w:r>
            <w:r>
              <w:t>-</w:t>
            </w:r>
            <w:r w:rsidRPr="004A774C">
              <w:t>defined erythema was observed with a mean overall irritation score of 1.6. At the 48</w:t>
            </w:r>
            <w:r>
              <w:t>h</w:t>
            </w:r>
            <w:r w:rsidRPr="004A774C">
              <w:t xml:space="preserve"> observation timepoint, erythema was observed with a mean irritation score of 1.3. At the 72</w:t>
            </w:r>
            <w:r>
              <w:t>h</w:t>
            </w:r>
            <w:r w:rsidRPr="004A774C">
              <w:t xml:space="preserve"> observation timepoint, very slight erythema was observed with a mean irritation score of 1. </w:t>
            </w:r>
            <w:proofErr w:type="gramStart"/>
            <w:r w:rsidRPr="004A774C">
              <w:t>All of</w:t>
            </w:r>
            <w:proofErr w:type="gramEnd"/>
            <w:r w:rsidRPr="004A774C">
              <w:t xml:space="preserve"> the observed effects at each time point were fully reversible within 120</w:t>
            </w:r>
            <w:r>
              <w:t>h</w:t>
            </w:r>
            <w:r w:rsidRPr="004A774C">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106C42B0" w14:textId="77777777" w:rsidR="003841B3" w:rsidRPr="004A774C" w:rsidRDefault="00A85D6C" w:rsidP="000F7882">
            <w:pPr>
              <w:pStyle w:val="ITRCTableText"/>
            </w:pPr>
            <w:hyperlink r:id="rId19" w:history="1">
              <w:r w:rsidR="003841B3" w:rsidRPr="009050E9">
                <w:rPr>
                  <w:rStyle w:val="Hyperlink"/>
                </w:rPr>
                <w:t>Anonymous (19</w:t>
              </w:r>
              <w:r w:rsidR="003841B3">
                <w:rPr>
                  <w:rStyle w:val="Hyperlink"/>
                </w:rPr>
                <w:t>62</w:t>
              </w:r>
              <w:r w:rsidR="003841B3" w:rsidRPr="009050E9">
                <w:rPr>
                  <w:rStyle w:val="Hyperlink"/>
                </w:rPr>
                <w:t>)</w:t>
              </w:r>
            </w:hyperlink>
            <w:r w:rsidR="003841B3">
              <w:t xml:space="preserve">, as referenced in </w:t>
            </w:r>
            <w:r w:rsidR="003841B3">
              <w:fldChar w:fldCharType="begin"/>
            </w:r>
            <w:r w:rsidR="003841B3">
              <w:instrText xml:space="preserve"> ADDIN ZOTERO_ITEM CSL_CITATION {"citationID":"KikdMu2c","properties":{"formattedCitation":"(ECHA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r w:rsidR="003841B3">
              <w:t>.</w:t>
            </w:r>
          </w:p>
        </w:tc>
      </w:tr>
      <w:tr w:rsidR="009D312B" w:rsidRPr="004A774C" w14:paraId="5657F0FC"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36A7DBC"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37666519" w14:textId="77777777" w:rsidR="003841B3" w:rsidRPr="004A774C" w:rsidRDefault="003841B3" w:rsidP="000F7882">
            <w:pPr>
              <w:pStyle w:val="ITRCTableTextCentered"/>
            </w:pPr>
            <w:r w:rsidRPr="004A774C">
              <w:t>Eye irritation</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6E4134B7" w14:textId="317E16BD" w:rsidR="003841B3" w:rsidRPr="004A774C" w:rsidRDefault="003841B3" w:rsidP="000F7882">
            <w:pPr>
              <w:pStyle w:val="ITRCTableText"/>
            </w:pPr>
            <w:r w:rsidRPr="004A774C">
              <w:t>An undiluted 0.1</w:t>
            </w:r>
            <w:r>
              <w:t> </w:t>
            </w:r>
            <w:r w:rsidR="00192AF8">
              <w:t>mL</w:t>
            </w:r>
            <w:r w:rsidRPr="004A774C">
              <w:t xml:space="preserve"> dose of 6PPD (warmed to 46°C to liquefy) was applied into the conjunctiva sac of the rabbit eye for 24 hours. A 7-day observation period followed the application of the 6PPD.</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56903901" w14:textId="77777777" w:rsidR="003841B3" w:rsidRPr="004A774C" w:rsidRDefault="003841B3" w:rsidP="000F7882">
            <w:pPr>
              <w:pStyle w:val="ITRCTableText"/>
            </w:pPr>
            <w:r w:rsidRPr="004A774C">
              <w:t>New Zealand White rabbits</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75E7C42F" w14:textId="77777777" w:rsidR="003841B3" w:rsidRPr="004A774C" w:rsidRDefault="003841B3" w:rsidP="000F7882">
            <w:pPr>
              <w:pStyle w:val="ITRCTableText"/>
            </w:pPr>
            <w:r w:rsidRPr="004A774C">
              <w:t>6PPD was slightly irritating to the rabbit eye (irritation mean score at 24</w:t>
            </w:r>
            <w:r>
              <w:t>h</w:t>
            </w:r>
            <w:r w:rsidRPr="004A774C">
              <w:t>, 48</w:t>
            </w:r>
            <w:r>
              <w:t>h</w:t>
            </w:r>
            <w:r w:rsidRPr="004A774C">
              <w:t>, and 72</w:t>
            </w:r>
            <w:r>
              <w:t>h</w:t>
            </w:r>
            <w:r w:rsidRPr="004A774C">
              <w:t>: 1.2/110.0). Effects on the conjunctivae were noted in all animals at 24</w:t>
            </w:r>
            <w:r>
              <w:t>h</w:t>
            </w:r>
            <w:r w:rsidRPr="004A774C">
              <w:t xml:space="preserve"> (mean score 24h: 5.6/110) but were reversible within 72</w:t>
            </w:r>
            <w:r>
              <w:t>h</w:t>
            </w:r>
            <w:r w:rsidRPr="004A774C">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575E43B2" w14:textId="77777777" w:rsidR="003841B3" w:rsidRPr="004A774C" w:rsidRDefault="00A85D6C" w:rsidP="000F7882">
            <w:pPr>
              <w:pStyle w:val="ITRCTableText"/>
            </w:pPr>
            <w:hyperlink r:id="rId20" w:history="1">
              <w:r w:rsidR="003841B3" w:rsidRPr="009050E9">
                <w:rPr>
                  <w:rStyle w:val="Hyperlink"/>
                </w:rPr>
                <w:t>Anonymous (19</w:t>
              </w:r>
              <w:r w:rsidR="003841B3">
                <w:rPr>
                  <w:rStyle w:val="Hyperlink"/>
                </w:rPr>
                <w:t>73</w:t>
              </w:r>
              <w:r w:rsidR="003841B3" w:rsidRPr="009050E9">
                <w:rPr>
                  <w:rStyle w:val="Hyperlink"/>
                </w:rPr>
                <w:t>)</w:t>
              </w:r>
            </w:hyperlink>
            <w:r w:rsidR="003841B3">
              <w:t xml:space="preserve">, as referenced in </w:t>
            </w:r>
            <w:r w:rsidR="003841B3">
              <w:fldChar w:fldCharType="begin"/>
            </w:r>
            <w:r w:rsidR="003841B3">
              <w:instrText xml:space="preserve"> ADDIN ZOTERO_ITEM CSL_CITATION {"citationID":"I1200siZ","properties":{"formattedCitation":"(ECHA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r w:rsidR="003841B3">
              <w:t>.</w:t>
            </w:r>
          </w:p>
        </w:tc>
      </w:tr>
      <w:tr w:rsidR="009D312B" w:rsidRPr="004A774C" w14:paraId="31EBC7FF"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6C4CDEA"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471C3FBB" w14:textId="77777777" w:rsidR="003841B3" w:rsidRPr="004A774C" w:rsidRDefault="003841B3" w:rsidP="000F7882">
            <w:pPr>
              <w:pStyle w:val="ITRCTableTextCentered"/>
            </w:pPr>
            <w:r w:rsidRPr="004A774C">
              <w:t>Eye irritation</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21C5CBD7" w14:textId="395D7827" w:rsidR="003841B3" w:rsidRPr="004A774C" w:rsidRDefault="003841B3" w:rsidP="000F7882">
            <w:pPr>
              <w:pStyle w:val="ITRCTableText"/>
            </w:pPr>
            <w:r w:rsidRPr="004A774C">
              <w:t>An undiluted 6PPD (0.1</w:t>
            </w:r>
            <w:r>
              <w:t> </w:t>
            </w:r>
            <w:r w:rsidR="00192AF8">
              <w:t>mL</w:t>
            </w:r>
            <w:r w:rsidRPr="004A774C">
              <w:t>) applied to the eyes of rabbits (strain not specified) for 24</w:t>
            </w:r>
            <w:r>
              <w:t>h</w:t>
            </w:r>
            <w:r w:rsidRPr="004A774C">
              <w:t xml:space="preserve"> followed by a 5</w:t>
            </w:r>
            <w:r>
              <w:t>-</w:t>
            </w:r>
            <w:r w:rsidRPr="004A774C">
              <w:t>day post</w:t>
            </w:r>
            <w:r>
              <w:t>-</w:t>
            </w:r>
            <w:r w:rsidRPr="004A774C">
              <w:t>exposure period.</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3C29C7F4" w14:textId="77777777" w:rsidR="003841B3" w:rsidRPr="004A774C" w:rsidRDefault="003841B3" w:rsidP="000F7882">
            <w:pPr>
              <w:pStyle w:val="ITRCTableText"/>
            </w:pPr>
            <w:r w:rsidRPr="004A774C">
              <w:t>Unspecified strain of rabbits (n=3)</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29E8B51B" w14:textId="77777777" w:rsidR="003841B3" w:rsidRPr="004A774C" w:rsidRDefault="003841B3" w:rsidP="000F7882">
            <w:pPr>
              <w:pStyle w:val="ITRCTableText"/>
            </w:pPr>
            <w:r w:rsidRPr="004A774C">
              <w:t>6PPD was slightly irritating to the rabbit eye (average score of 20.6/110). After 1</w:t>
            </w:r>
            <w:r>
              <w:t>h,</w:t>
            </w:r>
            <w:r w:rsidRPr="004A774C">
              <w:t xml:space="preserve"> slight edema and erythema, copious discharge and slight dullness of the corneal area were observed. </w:t>
            </w:r>
            <w:proofErr w:type="gramStart"/>
            <w:r w:rsidRPr="004A774C">
              <w:t>Iris</w:t>
            </w:r>
            <w:proofErr w:type="gramEnd"/>
            <w:r w:rsidRPr="004A774C">
              <w:t xml:space="preserve"> and cornea cleared somewhat in 24</w:t>
            </w:r>
            <w:r>
              <w:t>h,</w:t>
            </w:r>
            <w:r w:rsidRPr="004A774C">
              <w:t xml:space="preserve"> and within 72</w:t>
            </w:r>
            <w:r>
              <w:t>h</w:t>
            </w:r>
            <w:r w:rsidRPr="004A774C">
              <w:t xml:space="preserve"> iris clarity was normal. Very slight redness and edema disappeared by the </w:t>
            </w:r>
            <w:r>
              <w:t>fifth</w:t>
            </w:r>
            <w:r w:rsidRPr="004A774C">
              <w:t xml:space="preserve"> day</w:t>
            </w:r>
            <w:r>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5F78A200" w14:textId="77777777" w:rsidR="003841B3" w:rsidRPr="004A774C" w:rsidRDefault="00A85D6C" w:rsidP="000F7882">
            <w:pPr>
              <w:pStyle w:val="ITRCTableText"/>
            </w:pPr>
            <w:hyperlink r:id="rId21" w:history="1">
              <w:r w:rsidR="003841B3" w:rsidRPr="009050E9">
                <w:rPr>
                  <w:rStyle w:val="Hyperlink"/>
                </w:rPr>
                <w:t>Anonymous (19</w:t>
              </w:r>
              <w:r w:rsidR="003841B3">
                <w:rPr>
                  <w:rStyle w:val="Hyperlink"/>
                </w:rPr>
                <w:t>62</w:t>
              </w:r>
              <w:r w:rsidR="003841B3" w:rsidRPr="009050E9">
                <w:rPr>
                  <w:rStyle w:val="Hyperlink"/>
                </w:rPr>
                <w:t>)</w:t>
              </w:r>
            </w:hyperlink>
            <w:r w:rsidR="003841B3">
              <w:t xml:space="preserve">, as referenced in </w:t>
            </w:r>
            <w:r w:rsidR="003841B3">
              <w:fldChar w:fldCharType="begin"/>
            </w:r>
            <w:r w:rsidR="003841B3">
              <w:instrText xml:space="preserve"> ADDIN ZOTERO_ITEM CSL_CITATION {"citationID":"cja4sGMZ","properties":{"formattedCitation":"(ECHA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r w:rsidR="003841B3">
              <w:t>.</w:t>
            </w:r>
          </w:p>
        </w:tc>
      </w:tr>
      <w:tr w:rsidR="009D312B" w:rsidRPr="004A774C" w14:paraId="68BDFB5B"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D644DFD"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4C10C045" w14:textId="77777777" w:rsidR="003841B3" w:rsidRPr="004A774C" w:rsidRDefault="003841B3" w:rsidP="000F7882">
            <w:pPr>
              <w:pStyle w:val="ITRCTableTextCentered"/>
            </w:pPr>
            <w:r w:rsidRPr="004A774C">
              <w:t>Skin sensitization</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39ACFD58" w14:textId="77777777" w:rsidR="003841B3" w:rsidRPr="004A774C" w:rsidRDefault="003841B3" w:rsidP="000F7882">
            <w:pPr>
              <w:pStyle w:val="ITRCTableText"/>
            </w:pPr>
            <w:r w:rsidRPr="004A774C">
              <w:t>A guinea pig maximization test was conducted using doses of 50</w:t>
            </w:r>
            <w:r>
              <w:t> </w:t>
            </w:r>
            <w:r w:rsidRPr="004A774C">
              <w:t>ppm and 5</w:t>
            </w:r>
            <w:r>
              <w:t>,</w:t>
            </w:r>
            <w:r w:rsidRPr="004A774C">
              <w:t>000</w:t>
            </w:r>
            <w:r>
              <w:t> </w:t>
            </w:r>
            <w:r w:rsidRPr="004A774C">
              <w:t>ppm. Acetone was used as the vehicle for dosing.</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3C7FF07C" w14:textId="77777777" w:rsidR="003841B3" w:rsidRPr="004A774C" w:rsidRDefault="003841B3" w:rsidP="000F7882">
            <w:pPr>
              <w:pStyle w:val="ITRCTableText"/>
            </w:pPr>
            <w:r w:rsidRPr="004A774C">
              <w:t>Hartley guinea pig, female (n=4)</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1339A4E2" w14:textId="77777777" w:rsidR="003841B3" w:rsidRPr="004A774C" w:rsidRDefault="003841B3" w:rsidP="000F7882">
            <w:pPr>
              <w:pStyle w:val="ITRCTableText"/>
            </w:pPr>
            <w:r w:rsidRPr="004A774C">
              <w:t>6PPD was reported as sensitizing to the skin of four female guinea pigs in a guinea pig maximization test. All four guinea pigs showed positive skin reactions for both doses of 6PPD (50</w:t>
            </w:r>
            <w:r>
              <w:t> ppm</w:t>
            </w:r>
            <w:r w:rsidRPr="004A774C">
              <w:t xml:space="preserve"> </w:t>
            </w:r>
            <w:r>
              <w:t>[</w:t>
            </w:r>
            <w:r w:rsidRPr="004A774C">
              <w:t>0.005%</w:t>
            </w:r>
            <w:r>
              <w:t>]</w:t>
            </w:r>
            <w:r w:rsidRPr="004A774C">
              <w:t xml:space="preserve"> and 5</w:t>
            </w:r>
            <w:r>
              <w:t>,</w:t>
            </w:r>
            <w:r w:rsidRPr="004A774C">
              <w:t>000</w:t>
            </w:r>
            <w:r>
              <w:t> ppm</w:t>
            </w:r>
            <w:r w:rsidRPr="004A774C">
              <w:t xml:space="preserve"> </w:t>
            </w:r>
            <w:r>
              <w:t>[</w:t>
            </w:r>
            <w:r w:rsidRPr="004A774C">
              <w:t>0.5%</w:t>
            </w:r>
            <w:r>
              <w:t>]</w:t>
            </w:r>
            <w:r w:rsidRPr="004A774C">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257731CB" w14:textId="77777777" w:rsidR="003841B3" w:rsidRPr="004A774C" w:rsidRDefault="003841B3" w:rsidP="000F7882">
            <w:pPr>
              <w:pStyle w:val="ITRCTableText"/>
            </w:pPr>
            <w:r>
              <w:fldChar w:fldCharType="begin"/>
            </w:r>
            <w:r>
              <w:instrText xml:space="preserve"> ADDIN ZOTERO_ITEM CSL_CITATION {"citationID":"TDdTBTYp","properties":{"formattedCitation":"(Yamano and Shimizu 2009)","plainCitation":"(Yamano and Shimizu 2009)","noteIndex":0},"citationItems":[{"id":2574,"uris":["http://zotero.org/groups/4911552/items/4CMIMGLH"],"itemData":{"id":2574,"type":"article-journal","abstract":"Background: \n              p\n              ‐Phenylenediamine (PPD)‐related chemicals have been used as antioxidants in rubber products, and many cases of contact dermatitis caused by these chemicals have been reported.\n            \n            \n              Objective: \n              The aim of this study was to investigate relative sensitizing potency and cross‐reactivity among PPD derivatives.\n            \n            \n              Methods: \n              Five PPD derivatives,\n              p\n              ‐aminodiphenylamine (PADPA),\n              N,N′\n              ‐diphenyl‐\n              p\n              ‐phenylenediamine (DPPD),\n              N\n              ‐isopropyl‐\n              N′\n              ‐phenyl‐\n              p\n              ‐phenylenediamine (IPPD),\n              N\n              ‐(1,3‐dimethylbutyl)‐\n              N′\n              ‐phenyl‐\n              p\n              ‐phenylenediamine (DMBPPD),\n              N\n              ‐(1‐methylheptyl)‐\n              N′\n              ‐phenyl‐\n              p\n              ‐phenylenediamine (MHPPD), and the core chemical PPD were evaluated for their sensitizing potency and cross‐reactivity using the non‐radioactive murine local lymph node assay (LLNA) and the guinea‐pig maximization test (GPMT).\n            \n            \n              Results: \n              PPD and all the derivatives were identified as primary sensitizers in both tests. The order of potency in the LLNA was as follows: IPPD and PADPA &gt; PPD &gt; DMBPPD and MHPPD &gt; DPPD. In the GPMT, all six groups of animals sensitized with one of these chemicals cross‐reacted to four other derivatives. Specifically, the five groups that have a common basic PADPA structure, that is PADPA, DPPD, IPPD, DMBPPD, and MHPPD, all reacted to each other at almost the same scores, while none of them reacted to PPD.\n            \n            \n              Conclusions: \n              The cross‐reactivity profile found in the study was to some extent different from that in previous human data, where distinction between cross‐reaction and concomitant primary sensitization is not always clear.","container-title":"Contact Dermatitis","DOI":"10.1111/j.1600-0536.2008.01500.x","ISSN":"0105-1873, 1600-0536","issue":"4","journalAbbreviation":"Contact Dermatitis","language":"en","license":"http://onlinelibrary.wiley.com/termsAndConditions#vor","page":"193-198","source":"DOI.org (Crossref)","title":"Skin sensitization potency and cross‐reactivity of &lt;i&gt;p&lt;/i&gt; ‐phenylenediamine and its derivatives evaluated by non‐radioactive murine local lymph node assay and guinea‐pig maximization test","volume":"60","author":[{"family":"Yamano","given":"Tetsuo"},{"family":"Shimizu","given":"Mitsuru"}],"issued":{"date-parts":[["2009",4]]}}}],"schema":"https://github.com/citation-style-language/schema/raw/master/csl-citation.json"} </w:instrText>
            </w:r>
            <w:r>
              <w:fldChar w:fldCharType="separate"/>
            </w:r>
            <w:r w:rsidRPr="00F860C2">
              <w:t>(Yamano and Shimizu 2009)</w:t>
            </w:r>
            <w:r>
              <w:fldChar w:fldCharType="end"/>
            </w:r>
            <w:r>
              <w:t xml:space="preserve">, as referenced in </w:t>
            </w:r>
            <w:r>
              <w:fldChar w:fldCharType="begin"/>
            </w:r>
            <w:r>
              <w:instrText xml:space="preserve"> ADDIN ZOTERO_ITEM CSL_CITATION {"citationID":"BEdFGBxD","properties":{"formattedCitation":"(ECHA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fldChar w:fldCharType="separate"/>
            </w:r>
            <w:r w:rsidRPr="00AC19F9">
              <w:t>(ECHA 2023)</w:t>
            </w:r>
            <w:r>
              <w:fldChar w:fldCharType="end"/>
            </w:r>
            <w:r>
              <w:br/>
              <w:t xml:space="preserve">DOI: </w:t>
            </w:r>
            <w:hyperlink r:id="rId22" w:tgtFrame="_blank" w:history="1">
              <w:r w:rsidRPr="003B589B">
                <w:rPr>
                  <w:rStyle w:val="Hyperlink"/>
                </w:rPr>
                <w:t>10.1111/j.1600-0536.2008.01500.x</w:t>
              </w:r>
            </w:hyperlink>
          </w:p>
        </w:tc>
      </w:tr>
      <w:tr w:rsidR="009D312B" w:rsidRPr="004A774C" w14:paraId="054897A1"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B60BE41"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296FA88B" w14:textId="77777777" w:rsidR="003841B3" w:rsidRPr="004A774C" w:rsidRDefault="003841B3" w:rsidP="000F7882">
            <w:pPr>
              <w:pStyle w:val="ITRCTableTextCentered"/>
            </w:pPr>
            <w:r w:rsidRPr="004A774C">
              <w:t>Skin sensitization</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3BA1A9AC" w14:textId="77777777" w:rsidR="003841B3" w:rsidRPr="004A774C" w:rsidRDefault="003841B3" w:rsidP="000F7882">
            <w:pPr>
              <w:pStyle w:val="ITRCTableText"/>
            </w:pPr>
            <w:r w:rsidRPr="004A774C">
              <w:t>Female B</w:t>
            </w:r>
            <w:r>
              <w:t>ALB</w:t>
            </w:r>
            <w:r w:rsidRPr="004A774C">
              <w:t>/c mice were exposed to the following doses of 6PPD: 0</w:t>
            </w:r>
            <w:r>
              <w:t>%</w:t>
            </w:r>
            <w:r w:rsidRPr="004A774C">
              <w:t>, 0.1</w:t>
            </w:r>
            <w:r>
              <w:t>%</w:t>
            </w:r>
            <w:r w:rsidRPr="004A774C">
              <w:t>, 0.3</w:t>
            </w:r>
            <w:r>
              <w:t>%</w:t>
            </w:r>
            <w:r w:rsidRPr="004A774C">
              <w:t>, 1</w:t>
            </w:r>
            <w:r>
              <w:t>%</w:t>
            </w:r>
            <w:r w:rsidRPr="004A774C">
              <w:t>, and 3%.</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43F708C5" w14:textId="77777777" w:rsidR="003841B3" w:rsidRPr="004A774C" w:rsidRDefault="003841B3" w:rsidP="000F7882">
            <w:pPr>
              <w:pStyle w:val="ITRCTableText"/>
            </w:pPr>
            <w:r w:rsidRPr="004A774C">
              <w:t>B</w:t>
            </w:r>
            <w:r>
              <w:t>ALB</w:t>
            </w:r>
            <w:r w:rsidRPr="004A774C">
              <w:t>/c mice (n=4)</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77184CDF" w14:textId="77777777" w:rsidR="003841B3" w:rsidRPr="004A774C" w:rsidRDefault="003841B3" w:rsidP="000F7882">
            <w:pPr>
              <w:pStyle w:val="ITRCTableText"/>
            </w:pPr>
            <w:r w:rsidRPr="004A774C">
              <w:t>6PPD was reported as a positive skin sensitizer in a mouse local lymph node assay. The stimulation index score was reported as 2.34 for the 1% dose and 5.06 for the 3% dose.</w:t>
            </w:r>
          </w:p>
        </w:tc>
        <w:tc>
          <w:tcPr>
            <w:tcW w:w="3240" w:type="dxa"/>
            <w:tcBorders>
              <w:top w:val="nil"/>
              <w:left w:val="nil"/>
              <w:bottom w:val="single" w:sz="4" w:space="0" w:color="auto"/>
              <w:right w:val="single" w:sz="4" w:space="0" w:color="auto"/>
            </w:tcBorders>
            <w:shd w:val="clear" w:color="auto" w:fill="EAF1DD" w:themeFill="accent3" w:themeFillTint="33"/>
            <w:hideMark/>
          </w:tcPr>
          <w:p w14:paraId="7A4A0902" w14:textId="77777777" w:rsidR="003841B3" w:rsidRPr="004A774C" w:rsidRDefault="003841B3" w:rsidP="000F7882">
            <w:pPr>
              <w:pStyle w:val="ITRCTableText"/>
            </w:pPr>
            <w:r>
              <w:fldChar w:fldCharType="begin"/>
            </w:r>
            <w:r>
              <w:instrText xml:space="preserve"> ADDIN ZOTERO_ITEM CSL_CITATION {"citationID":"WPrFCgJD","properties":{"formattedCitation":"(Yamano and Shimizu 2009)","plainCitation":"(Yamano and Shimizu 2009)","noteIndex":0},"citationItems":[{"id":2574,"uris":["http://zotero.org/groups/4911552/items/4CMIMGLH"],"itemData":{"id":2574,"type":"article-journal","abstract":"Background: \n              p\n              ‐Phenylenediamine (PPD)‐related chemicals have been used as antioxidants in rubber products, and many cases of contact dermatitis caused by these chemicals have been reported.\n            \n            \n              Objective: \n              The aim of this study was to investigate relative sensitizing potency and cross‐reactivity among PPD derivatives.\n            \n            \n              Methods: \n              Five PPD derivatives,\n              p\n              ‐aminodiphenylamine (PADPA),\n              N,N′\n              ‐diphenyl‐\n              p\n              ‐phenylenediamine (DPPD),\n              N\n              ‐isopropyl‐\n              N′\n              ‐phenyl‐\n              p\n              ‐phenylenediamine (IPPD),\n              N\n              ‐(1,3‐dimethylbutyl)‐\n              N′\n              ‐phenyl‐\n              p\n              ‐phenylenediamine (DMBPPD),\n              N\n              ‐(1‐methylheptyl)‐\n              N′\n              ‐phenyl‐\n              p\n              ‐phenylenediamine (MHPPD), and the core chemical PPD were evaluated for their sensitizing potency and cross‐reactivity using the non‐radioactive murine local lymph node assay (LLNA) and the guinea‐pig maximization test (GPMT).\n            \n            \n              Results: \n              PPD and all the derivatives were identified as primary sensitizers in both tests. The order of potency in the LLNA was as follows: IPPD and PADPA &gt; PPD &gt; DMBPPD and MHPPD &gt; DPPD. In the GPMT, all six groups of animals sensitized with one of these chemicals cross‐reacted to four other derivatives. Specifically, the five groups that have a common basic PADPA structure, that is PADPA, DPPD, IPPD, DMBPPD, and MHPPD, all reacted to each other at almost the same scores, while none of them reacted to PPD.\n            \n            \n              Conclusions: \n              The cross‐reactivity profile found in the study was to some extent different from that in previous human data, where distinction between cross‐reaction and concomitant primary sensitization is not always clear.","container-title":"Contact Dermatitis","DOI":"10.1111/j.1600-0536.2008.01500.x","ISSN":"0105-1873, 1600-0536","issue":"4","journalAbbreviation":"Contact Dermatitis","language":"en","license":"http://onlinelibrary.wiley.com/termsAndConditions#vor","page":"193-198","source":"DOI.org (Crossref)","title":"Skin sensitization potency and cross‐reactivity of &lt;i&gt;p&lt;/i&gt; ‐phenylenediamine and its derivatives evaluated by non‐radioactive murine local lymph node assay and guinea‐pig maximization test","volume":"60","author":[{"family":"Yamano","given":"Tetsuo"},{"family":"Shimizu","given":"Mitsuru"}],"issued":{"date-parts":[["2009",4]]}}}],"schema":"https://github.com/citation-style-language/schema/raw/master/csl-citation.json"} </w:instrText>
            </w:r>
            <w:r>
              <w:fldChar w:fldCharType="separate"/>
            </w:r>
            <w:r w:rsidRPr="00F860C2">
              <w:t>(Yamano and Shimizu 2009)</w:t>
            </w:r>
            <w:r>
              <w:fldChar w:fldCharType="end"/>
            </w:r>
            <w:r>
              <w:t xml:space="preserve">, as referenced in </w:t>
            </w:r>
            <w:r>
              <w:fldChar w:fldCharType="begin"/>
            </w:r>
            <w:r>
              <w:instrText xml:space="preserve"> ADDIN ZOTERO_ITEM CSL_CITATION {"citationID":"asELN5s2","properties":{"formattedCitation":"(ECHA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fldChar w:fldCharType="separate"/>
            </w:r>
            <w:r w:rsidRPr="00AC19F9">
              <w:t>(ECHA 2023)</w:t>
            </w:r>
            <w:r>
              <w:fldChar w:fldCharType="end"/>
            </w:r>
            <w:r>
              <w:br/>
              <w:t xml:space="preserve">DOI: </w:t>
            </w:r>
            <w:hyperlink r:id="rId23" w:tgtFrame="_blank" w:history="1">
              <w:r w:rsidRPr="003B589B">
                <w:rPr>
                  <w:rStyle w:val="Hyperlink"/>
                </w:rPr>
                <w:t>10.1111/j.1600-0536.2008.01500.x</w:t>
              </w:r>
            </w:hyperlink>
          </w:p>
        </w:tc>
      </w:tr>
      <w:tr w:rsidR="009D312B" w:rsidRPr="004A774C" w14:paraId="4C8D5FB0"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4CED9F61"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5308264D" w14:textId="77777777" w:rsidR="003841B3" w:rsidRPr="004A774C" w:rsidRDefault="003841B3" w:rsidP="000F7882">
            <w:pPr>
              <w:pStyle w:val="ITRCTableTextCentered"/>
            </w:pPr>
            <w:r w:rsidRPr="004A774C">
              <w:t>Skin sensitization</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7AB23E8C" w14:textId="77777777" w:rsidR="003841B3" w:rsidRPr="004A774C" w:rsidRDefault="003841B3" w:rsidP="000F7882">
            <w:pPr>
              <w:pStyle w:val="ITRCTableText"/>
            </w:pPr>
            <w:r w:rsidRPr="004A774C">
              <w:t xml:space="preserve">Repeated insult patch test (method of </w:t>
            </w:r>
            <w:proofErr w:type="spellStart"/>
            <w:r w:rsidRPr="004A774C">
              <w:t>Shelanski</w:t>
            </w:r>
            <w:proofErr w:type="spellEnd"/>
            <w:r w:rsidRPr="004A774C">
              <w:t>)</w:t>
            </w:r>
            <w:r>
              <w:t>—</w:t>
            </w:r>
            <w:r w:rsidRPr="004A774C">
              <w:t>induction by 15 repeated treatments followed by one challenge application) or a modified Schwartz patch test</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23167440" w14:textId="77777777" w:rsidR="003841B3" w:rsidRPr="004A774C" w:rsidRDefault="003841B3" w:rsidP="000F7882">
            <w:pPr>
              <w:pStyle w:val="ITRCTableText"/>
            </w:pPr>
            <w:r w:rsidRPr="004A774C">
              <w:t xml:space="preserve">Human </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2F768A9A" w14:textId="77777777" w:rsidR="003841B3" w:rsidRDefault="003841B3" w:rsidP="000F7882">
            <w:pPr>
              <w:pStyle w:val="ITRCTableText"/>
            </w:pPr>
            <w:r w:rsidRPr="004A774C">
              <w:t>In older studies reported between 1964 and 1997, 6PPD was found to induce dermal sensitization in humans.</w:t>
            </w:r>
          </w:p>
          <w:p w14:paraId="71AFF721" w14:textId="77777777" w:rsidR="003841B3" w:rsidRDefault="003841B3" w:rsidP="000F7882">
            <w:pPr>
              <w:pStyle w:val="ITRCTableText"/>
            </w:pPr>
            <w:r w:rsidRPr="004A774C">
              <w:t>Pos</w:t>
            </w:r>
            <w:r>
              <w:t>i</w:t>
            </w:r>
            <w:r w:rsidRPr="004A774C">
              <w:t>tive results were noted in repeated insult patch tests where sensitization was reported for groups of 17/50, 16/50, 4/50</w:t>
            </w:r>
            <w:r>
              <w:t>,</w:t>
            </w:r>
            <w:r w:rsidRPr="004A774C">
              <w:t xml:space="preserve"> and 5/50 individuals and in modified Schwartz patch tests where sensitization was reported for groups of 3/10, 5/10, 9/10</w:t>
            </w:r>
            <w:r>
              <w:t>,</w:t>
            </w:r>
            <w:r w:rsidRPr="004A774C">
              <w:t xml:space="preserve"> and 3/5 ind</w:t>
            </w:r>
            <w:r>
              <w:t>i</w:t>
            </w:r>
            <w:r w:rsidRPr="004A774C">
              <w:t>viduals. In these studies, volunteer subjects</w:t>
            </w:r>
            <w:r>
              <w:t xml:space="preserve"> </w:t>
            </w:r>
            <w:r w:rsidRPr="004A774C">
              <w:t>had been previously sensitized to rubber samples. Where test subjects (n=50) were not previously exposed to 6PPD, three studies all showed negative patch-test results.</w:t>
            </w:r>
          </w:p>
          <w:p w14:paraId="06A8AE3E" w14:textId="77777777" w:rsidR="003841B3" w:rsidRPr="004A774C" w:rsidRDefault="003841B3" w:rsidP="000F7882">
            <w:pPr>
              <w:pStyle w:val="ITRCTableText"/>
            </w:pPr>
            <w:r w:rsidRPr="004A774C">
              <w:t>In three additional patch test studies, patients with sensitization to 6PPD showed cross-sensitization to other rubber additives.</w:t>
            </w:r>
          </w:p>
        </w:tc>
        <w:tc>
          <w:tcPr>
            <w:tcW w:w="3240" w:type="dxa"/>
            <w:tcBorders>
              <w:top w:val="nil"/>
              <w:left w:val="nil"/>
              <w:bottom w:val="single" w:sz="4" w:space="0" w:color="auto"/>
              <w:right w:val="single" w:sz="4" w:space="0" w:color="auto"/>
            </w:tcBorders>
            <w:shd w:val="clear" w:color="auto" w:fill="EAF1DD" w:themeFill="accent3" w:themeFillTint="33"/>
            <w:hideMark/>
          </w:tcPr>
          <w:p w14:paraId="103140BD" w14:textId="77777777" w:rsidR="003841B3" w:rsidRPr="004A774C" w:rsidRDefault="003841B3" w:rsidP="000F7882">
            <w:pPr>
              <w:pStyle w:val="ITRCTableText"/>
            </w:pPr>
            <w:r>
              <w:fldChar w:fldCharType="begin"/>
            </w:r>
            <w:r>
              <w:instrText xml:space="preserve"> ADDIN ZOTERO_ITEM CSL_CITATION {"citationID":"xKBxjx9F","properties":{"formattedCitation":"(OECD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label":"page"}],"schema":"https://github.com/citation-style-language/schema/raw/master/csl-citation.json"} </w:instrText>
            </w:r>
            <w:r>
              <w:fldChar w:fldCharType="separate"/>
            </w:r>
            <w:r w:rsidRPr="00F0331C">
              <w:t>(OECD 2004)</w:t>
            </w:r>
            <w:r>
              <w:fldChar w:fldCharType="end"/>
            </w:r>
            <w:r>
              <w:br/>
            </w:r>
            <w:hyperlink r:id="rId24" w:history="1">
              <w:r w:rsidRPr="00E57172">
                <w:rPr>
                  <w:rStyle w:val="Hyperlink"/>
                </w:rPr>
                <w:t>https://hpvchemicals.oecd.org/UI/handler.axd?id=5e1a446c-5969-479c-9270-7ced8726952e</w:t>
              </w:r>
            </w:hyperlink>
            <w:r w:rsidRPr="004A774C">
              <w:t>.</w:t>
            </w:r>
          </w:p>
        </w:tc>
      </w:tr>
      <w:tr w:rsidR="003A095B" w:rsidRPr="004A774C" w14:paraId="02013D12"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AD0987D" w14:textId="77777777" w:rsidR="003A095B" w:rsidRPr="004A774C" w:rsidRDefault="003A095B"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5F76D1D1" w14:textId="77777777" w:rsidR="003A095B" w:rsidRPr="004A774C" w:rsidRDefault="003A095B" w:rsidP="000F7882">
            <w:pPr>
              <w:pStyle w:val="ITRCTableTextCentered"/>
            </w:pPr>
            <w:r w:rsidRPr="004A774C">
              <w:t xml:space="preserve">Repeat </w:t>
            </w:r>
            <w:r>
              <w:t>d</w:t>
            </w:r>
            <w:r w:rsidRPr="004A774C">
              <w:t>ose (</w:t>
            </w:r>
            <w:r>
              <w:t>c</w:t>
            </w:r>
            <w:r w:rsidRPr="004A774C">
              <w:t>hronic)</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6C5C3A08" w14:textId="77777777" w:rsidR="003A095B" w:rsidRPr="004A774C" w:rsidRDefault="003A095B" w:rsidP="000F7882">
            <w:pPr>
              <w:pStyle w:val="ITRCTableText"/>
            </w:pPr>
            <w:r w:rsidRPr="004A774C">
              <w:t xml:space="preserve">An OECD </w:t>
            </w:r>
            <w:r>
              <w:t>G</w:t>
            </w:r>
            <w:r w:rsidRPr="004A774C">
              <w:t>uideline 452 (Chronic Toxicity) study was conducted using male and female Sprague-Dawley rats exposed to 0</w:t>
            </w:r>
            <w:r>
              <w:t> ppm</w:t>
            </w:r>
            <w:r w:rsidRPr="004A774C">
              <w:t>, 50</w:t>
            </w:r>
            <w:r>
              <w:t> ppm</w:t>
            </w:r>
            <w:r w:rsidRPr="004A774C">
              <w:t>, 250</w:t>
            </w:r>
            <w:r>
              <w:t> ppm</w:t>
            </w:r>
            <w:r w:rsidRPr="004A774C">
              <w:t>, or 1</w:t>
            </w:r>
            <w:r>
              <w:t>,</w:t>
            </w:r>
            <w:r w:rsidRPr="004A774C">
              <w:t>500</w:t>
            </w:r>
            <w:r>
              <w:t> ppm</w:t>
            </w:r>
            <w:r w:rsidRPr="004A774C">
              <w:t xml:space="preserve"> 6PPD in their feed daily. At the beginning of the experiment </w:t>
            </w:r>
            <w:proofErr w:type="gramStart"/>
            <w:r w:rsidRPr="004A774C">
              <w:t>all of</w:t>
            </w:r>
            <w:proofErr w:type="gramEnd"/>
            <w:r w:rsidRPr="004A774C">
              <w:t xml:space="preserve"> the rats in the group were dosed with 6PPD. At 12 months of treatment approximately 20 rats/sex/group were sacrificed. After 24 months of treatment all survivors were sacrificed.</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292B2F75" w14:textId="77777777" w:rsidR="003A095B" w:rsidRPr="004A774C" w:rsidRDefault="003A095B" w:rsidP="000F7882">
            <w:pPr>
              <w:pStyle w:val="ITRCTableText"/>
            </w:pPr>
            <w:r w:rsidRPr="004A774C">
              <w:t>Sprague-Dawley rat (n=70)</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78C85A5E" w14:textId="77777777" w:rsidR="003A095B" w:rsidRDefault="003A095B" w:rsidP="000F7882">
            <w:pPr>
              <w:pStyle w:val="ITRCTableText"/>
            </w:pPr>
            <w:r w:rsidRPr="004A774C">
              <w:t>Treatment-related effects were observed in males and females related to body weight, body weight changes, food consumption and liver weight. Mean body weight was consistently lower in males and females at the high dose (1</w:t>
            </w:r>
            <w:r>
              <w:t>,</w:t>
            </w:r>
            <w:r w:rsidRPr="004A774C">
              <w:t>500</w:t>
            </w:r>
            <w:r>
              <w:t> ppm</w:t>
            </w:r>
            <w:r w:rsidRPr="004A774C">
              <w:t>; 84.8</w:t>
            </w:r>
            <w:r>
              <w:t>–</w:t>
            </w:r>
            <w:r w:rsidRPr="004A774C">
              <w:t>109.5</w:t>
            </w:r>
            <w:r>
              <w:t> mg/kg</w:t>
            </w:r>
            <w:r w:rsidRPr="004A774C">
              <w:t>/day) (mean difference to control</w:t>
            </w:r>
            <w:r>
              <w:t xml:space="preserve"> −</w:t>
            </w:r>
            <w:r w:rsidRPr="004A774C">
              <w:t xml:space="preserve">9.9% and </w:t>
            </w:r>
            <w:r>
              <w:t>−</w:t>
            </w:r>
            <w:r w:rsidRPr="004A774C">
              <w:t>18.4%, respectively) and lower in females in the mid dose (250</w:t>
            </w:r>
            <w:r>
              <w:t> ppm</w:t>
            </w:r>
            <w:r w:rsidRPr="004A774C">
              <w:t>; 13.5</w:t>
            </w:r>
            <w:r>
              <w:t>–</w:t>
            </w:r>
            <w:r w:rsidRPr="004A774C">
              <w:t>16.5</w:t>
            </w:r>
            <w:r>
              <w:t> mg/kg</w:t>
            </w:r>
            <w:r w:rsidRPr="004A774C">
              <w:t>/day) (</w:t>
            </w:r>
            <w:r>
              <w:t>−</w:t>
            </w:r>
            <w:r w:rsidRPr="004A774C">
              <w:t>5.4%). Mean food consumption was increased in males and females at 1</w:t>
            </w:r>
            <w:r>
              <w:t>,</w:t>
            </w:r>
            <w:r w:rsidRPr="004A774C">
              <w:t>500</w:t>
            </w:r>
            <w:r>
              <w:t> ppm</w:t>
            </w:r>
            <w:r w:rsidRPr="004A774C">
              <w:t xml:space="preserve"> (mean difference to control +5.5% and +17.3%, respectively) and in females at 250</w:t>
            </w:r>
            <w:r>
              <w:t> ppm</w:t>
            </w:r>
            <w:r w:rsidRPr="004A774C">
              <w:t xml:space="preserve"> (+4.1%). Mean absolute and relative liver weights were increased in males and females after 12 and 24 months in the high-dose groups and in the mid-dose groups at termination.</w:t>
            </w:r>
          </w:p>
          <w:p w14:paraId="393FB133" w14:textId="77777777" w:rsidR="003A095B" w:rsidRPr="004A774C" w:rsidRDefault="003A095B" w:rsidP="000F7882">
            <w:pPr>
              <w:pStyle w:val="ITRCTableText"/>
            </w:pPr>
            <w:r w:rsidRPr="004A774C">
              <w:rPr>
                <w:b/>
                <w:bCs/>
              </w:rPr>
              <w:t>NOAEL:</w:t>
            </w:r>
            <w:r w:rsidRPr="004A774C">
              <w:t xml:space="preserve"> 2.6</w:t>
            </w:r>
            <w:r>
              <w:t> mg/kg</w:t>
            </w:r>
            <w:r w:rsidRPr="004A774C">
              <w:t>/day in males, 3.2</w:t>
            </w:r>
            <w:r>
              <w:t> mg/kg</w:t>
            </w:r>
            <w:r w:rsidRPr="004A774C">
              <w:t>/day females</w:t>
            </w:r>
            <w:r w:rsidRPr="004A774C">
              <w:br/>
            </w:r>
            <w:r w:rsidRPr="004A774C">
              <w:rPr>
                <w:b/>
                <w:bCs/>
              </w:rPr>
              <w:t>Basis:</w:t>
            </w:r>
            <w:r w:rsidRPr="004A774C">
              <w:t xml:space="preserve"> based on reduced body weight in females, increased food consumption in females and increased liver weight at 250</w:t>
            </w:r>
            <w:r>
              <w:t> ppm</w:t>
            </w:r>
            <w:r w:rsidRPr="004A774C">
              <w:t xml:space="preserve"> in both sexes (13.5</w:t>
            </w:r>
            <w:r>
              <w:t>–</w:t>
            </w:r>
            <w:r w:rsidRPr="004A774C">
              <w:t>16.5</w:t>
            </w:r>
            <w:r>
              <w:t> mg/kg</w:t>
            </w:r>
            <w:r w:rsidRPr="004A774C">
              <w:t>/day)</w:t>
            </w:r>
          </w:p>
        </w:tc>
        <w:tc>
          <w:tcPr>
            <w:tcW w:w="3240" w:type="dxa"/>
            <w:tcBorders>
              <w:top w:val="nil"/>
              <w:left w:val="nil"/>
              <w:bottom w:val="single" w:sz="4" w:space="0" w:color="auto"/>
              <w:right w:val="single" w:sz="4" w:space="0" w:color="auto"/>
            </w:tcBorders>
            <w:shd w:val="clear" w:color="auto" w:fill="EAF1DD" w:themeFill="accent3" w:themeFillTint="33"/>
            <w:hideMark/>
          </w:tcPr>
          <w:p w14:paraId="5B7DBE7A" w14:textId="77777777" w:rsidR="003A095B" w:rsidRPr="004A774C" w:rsidRDefault="00A85D6C" w:rsidP="000F7882">
            <w:pPr>
              <w:pStyle w:val="ITRCTableText"/>
            </w:pPr>
            <w:hyperlink r:id="rId25" w:history="1">
              <w:r w:rsidR="003A095B" w:rsidRPr="009050E9">
                <w:rPr>
                  <w:rStyle w:val="Hyperlink"/>
                </w:rPr>
                <w:t>Anonymous (19</w:t>
              </w:r>
              <w:r w:rsidR="003A095B">
                <w:rPr>
                  <w:rStyle w:val="Hyperlink"/>
                </w:rPr>
                <w:t>93</w:t>
              </w:r>
              <w:r w:rsidR="003A095B" w:rsidRPr="009050E9">
                <w:rPr>
                  <w:rStyle w:val="Hyperlink"/>
                </w:rPr>
                <w:t>)</w:t>
              </w:r>
            </w:hyperlink>
            <w:r w:rsidR="003A095B">
              <w:t xml:space="preserve">, as referenced in </w:t>
            </w:r>
            <w:r w:rsidR="003A095B">
              <w:fldChar w:fldCharType="begin"/>
            </w:r>
            <w:r w:rsidR="003A095B">
              <w:instrText xml:space="preserve"> ADDIN ZOTERO_ITEM CSL_CITATION {"citationID":"SQGvbF2S","properties":{"formattedCitation":"(ECHA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A095B">
              <w:fldChar w:fldCharType="separate"/>
            </w:r>
            <w:r w:rsidR="003A095B" w:rsidRPr="00AC19F9">
              <w:t>(ECHA 2023)</w:t>
            </w:r>
            <w:r w:rsidR="003A095B">
              <w:fldChar w:fldCharType="end"/>
            </w:r>
            <w:r w:rsidR="003A095B">
              <w:t>.</w:t>
            </w:r>
          </w:p>
        </w:tc>
      </w:tr>
      <w:tr w:rsidR="009D312B" w:rsidRPr="004A774C" w14:paraId="2E729F56"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69CB249" w14:textId="77777777" w:rsidR="003841B3" w:rsidRPr="004A774C" w:rsidRDefault="003841B3" w:rsidP="000F7882">
            <w:pPr>
              <w:pStyle w:val="ITRCTableTextCentered"/>
            </w:pPr>
            <w:r w:rsidRPr="004A774C">
              <w:lastRenderedPageBreak/>
              <w:t>6PPD</w:t>
            </w:r>
          </w:p>
        </w:tc>
        <w:tc>
          <w:tcPr>
            <w:tcW w:w="1440" w:type="dxa"/>
            <w:tcBorders>
              <w:top w:val="nil"/>
              <w:left w:val="nil"/>
              <w:bottom w:val="single" w:sz="4" w:space="0" w:color="auto"/>
              <w:right w:val="single" w:sz="4" w:space="0" w:color="auto"/>
            </w:tcBorders>
            <w:shd w:val="clear" w:color="auto" w:fill="EAF1DD" w:themeFill="accent3" w:themeFillTint="33"/>
            <w:vAlign w:val="center"/>
            <w:hideMark/>
          </w:tcPr>
          <w:p w14:paraId="24708213" w14:textId="77777777" w:rsidR="003841B3" w:rsidRPr="004A774C" w:rsidRDefault="003841B3" w:rsidP="000F7882">
            <w:pPr>
              <w:pStyle w:val="ITRCTableTextCentered"/>
            </w:pPr>
            <w:r w:rsidRPr="004A774C">
              <w:t xml:space="preserve">Repeat </w:t>
            </w:r>
            <w:r>
              <w:t>d</w:t>
            </w:r>
            <w:r w:rsidRPr="004A774C">
              <w:t>ose (</w:t>
            </w:r>
            <w:proofErr w:type="spellStart"/>
            <w:r>
              <w:t>s</w:t>
            </w:r>
            <w:r w:rsidRPr="004A774C">
              <w:t>ubchronic</w:t>
            </w:r>
            <w:proofErr w:type="spellEnd"/>
            <w:r w:rsidRPr="004A774C">
              <w:t>)</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0B3AC76E" w14:textId="610B7827" w:rsidR="003841B3" w:rsidRPr="004A774C" w:rsidRDefault="003841B3" w:rsidP="000F7882">
            <w:pPr>
              <w:pStyle w:val="ITRCTableText"/>
            </w:pPr>
            <w:r w:rsidRPr="004A774C">
              <w:t>A G</w:t>
            </w:r>
            <w:r w:rsidR="00300B0A">
              <w:t>ood</w:t>
            </w:r>
            <w:r w:rsidR="00716BCA">
              <w:t xml:space="preserve"> </w:t>
            </w:r>
            <w:r w:rsidR="00716BCA" w:rsidRPr="004A774C">
              <w:t>L</w:t>
            </w:r>
            <w:r w:rsidR="00716BCA">
              <w:t xml:space="preserve">aboratory </w:t>
            </w:r>
            <w:r w:rsidRPr="004A774C">
              <w:t>P</w:t>
            </w:r>
            <w:r w:rsidR="00716BCA">
              <w:t>ractice</w:t>
            </w:r>
            <w:r w:rsidRPr="004A774C">
              <w:t xml:space="preserve">-compliant Japanese </w:t>
            </w:r>
            <w:r>
              <w:t>g</w:t>
            </w:r>
            <w:r w:rsidRPr="004A774C">
              <w:t xml:space="preserve">uideline 28-day repeat dose toxicity study was conducted using male and female Sprague-Dawley rats. Test subjects were exposed to 0, 4, 20, </w:t>
            </w:r>
            <w:r>
              <w:t xml:space="preserve">or </w:t>
            </w:r>
            <w:r w:rsidRPr="004A774C">
              <w:t>100</w:t>
            </w:r>
            <w:r>
              <w:t> mg/kg</w:t>
            </w:r>
            <w:r>
              <w:noBreakHyphen/>
            </w:r>
            <w:proofErr w:type="spellStart"/>
            <w:r>
              <w:t>bw</w:t>
            </w:r>
            <w:proofErr w:type="spellEnd"/>
            <w:r w:rsidRPr="004A774C">
              <w:t>/day of 6PPD followed by a 14</w:t>
            </w:r>
            <w:r>
              <w:noBreakHyphen/>
            </w:r>
            <w:r w:rsidRPr="004A774C">
              <w:t>day recovery period. The vehicle was corn oil.</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69018719" w14:textId="77777777" w:rsidR="003841B3" w:rsidRPr="004A774C" w:rsidRDefault="003841B3" w:rsidP="000F7882">
            <w:pPr>
              <w:pStyle w:val="ITRCTableText"/>
            </w:pPr>
            <w:r w:rsidRPr="004A774C">
              <w:t>Sprague-Dawley rat (</w:t>
            </w:r>
            <w:r>
              <w:t>five</w:t>
            </w:r>
            <w:r w:rsidRPr="004A774C">
              <w:t xml:space="preserve"> animals per sex per dose group)</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7AA8B680" w14:textId="77777777" w:rsidR="003841B3" w:rsidRDefault="003841B3" w:rsidP="000F7882">
            <w:pPr>
              <w:pStyle w:val="ITRCTableText"/>
            </w:pPr>
            <w:r w:rsidRPr="004A774C">
              <w:t>No effects on survival or body weight gain were reported. Relative liver weights were significantly increased in both sexes but were reversible during recovery.</w:t>
            </w:r>
            <w:r>
              <w:t xml:space="preserve"> I</w:t>
            </w:r>
            <w:r w:rsidRPr="004A774C">
              <w:t>n female rats, following recovery, the increase was still significant</w:t>
            </w:r>
            <w:r>
              <w:t>, and a</w:t>
            </w:r>
            <w:r w:rsidRPr="004A774C">
              <w:t xml:space="preserve"> histopathological liver change</w:t>
            </w:r>
            <w:r>
              <w:t xml:space="preserve"> was observed</w:t>
            </w:r>
            <w:r w:rsidRPr="004A774C">
              <w:t>.</w:t>
            </w:r>
            <w:r>
              <w:t xml:space="preserve"> </w:t>
            </w:r>
            <w:r w:rsidRPr="004A774C">
              <w:t>There were no effects on weights or histopathologic findings of any other organs.</w:t>
            </w:r>
          </w:p>
          <w:p w14:paraId="356E4656" w14:textId="77777777" w:rsidR="003841B3" w:rsidRDefault="003841B3" w:rsidP="000F7882">
            <w:pPr>
              <w:pStyle w:val="ITRCTableText"/>
              <w:rPr>
                <w:b/>
                <w:bCs/>
              </w:rPr>
            </w:pPr>
            <w:r w:rsidRPr="004A774C">
              <w:rPr>
                <w:b/>
                <w:bCs/>
              </w:rPr>
              <w:t>NOEL: 4</w:t>
            </w:r>
            <w:r>
              <w:rPr>
                <w:b/>
                <w:bCs/>
              </w:rPr>
              <w:t> mg/kg</w:t>
            </w:r>
            <w:r>
              <w:rPr>
                <w:b/>
                <w:bCs/>
              </w:rPr>
              <w:noBreakHyphen/>
            </w:r>
            <w:proofErr w:type="spellStart"/>
            <w:r>
              <w:rPr>
                <w:b/>
                <w:bCs/>
              </w:rPr>
              <w:t>bw</w:t>
            </w:r>
            <w:proofErr w:type="spellEnd"/>
            <w:r w:rsidRPr="004A774C">
              <w:rPr>
                <w:b/>
                <w:bCs/>
              </w:rPr>
              <w:t>/day</w:t>
            </w:r>
            <w:r w:rsidRPr="004A774C">
              <w:rPr>
                <w:b/>
                <w:bCs/>
              </w:rPr>
              <w:br/>
              <w:t xml:space="preserve">Basis: </w:t>
            </w:r>
            <w:r>
              <w:t>F</w:t>
            </w:r>
            <w:r w:rsidRPr="004A774C">
              <w:t>or female rats only</w:t>
            </w:r>
            <w:r>
              <w:t>.</w:t>
            </w:r>
          </w:p>
          <w:p w14:paraId="628D1234" w14:textId="77777777" w:rsidR="003841B3" w:rsidRDefault="003841B3" w:rsidP="000F7882">
            <w:pPr>
              <w:pStyle w:val="ITRCTableText"/>
              <w:rPr>
                <w:b/>
                <w:bCs/>
              </w:rPr>
            </w:pPr>
            <w:r w:rsidRPr="004A774C">
              <w:rPr>
                <w:b/>
                <w:bCs/>
              </w:rPr>
              <w:t>LOEL: 20</w:t>
            </w:r>
            <w:r>
              <w:rPr>
                <w:b/>
                <w:bCs/>
              </w:rPr>
              <w:t> mg/kg</w:t>
            </w:r>
            <w:r>
              <w:rPr>
                <w:b/>
                <w:bCs/>
              </w:rPr>
              <w:noBreakHyphen/>
            </w:r>
            <w:proofErr w:type="spellStart"/>
            <w:r>
              <w:rPr>
                <w:b/>
                <w:bCs/>
              </w:rPr>
              <w:t>bw</w:t>
            </w:r>
            <w:proofErr w:type="spellEnd"/>
            <w:r w:rsidRPr="004A774C">
              <w:rPr>
                <w:b/>
                <w:bCs/>
              </w:rPr>
              <w:t>/day</w:t>
            </w:r>
            <w:r w:rsidRPr="004A774C">
              <w:rPr>
                <w:b/>
                <w:bCs/>
              </w:rPr>
              <w:br/>
              <w:t>Basis:</w:t>
            </w:r>
            <w:r w:rsidRPr="004A774C">
              <w:t xml:space="preserve"> </w:t>
            </w:r>
            <w:r>
              <w:t>R</w:t>
            </w:r>
            <w:r w:rsidRPr="004A774C">
              <w:t>eversible periportal fatty changes of the liver in females without an increase of liver weight and increased total serum protein in females.</w:t>
            </w:r>
          </w:p>
          <w:p w14:paraId="5900413C" w14:textId="77777777" w:rsidR="003841B3" w:rsidRDefault="003841B3" w:rsidP="000F7882">
            <w:pPr>
              <w:pStyle w:val="ITRCTableText"/>
            </w:pPr>
            <w:r w:rsidRPr="004A774C">
              <w:rPr>
                <w:b/>
                <w:bCs/>
              </w:rPr>
              <w:t xml:space="preserve">NOAEL: </w:t>
            </w:r>
            <w:r w:rsidRPr="004A774C">
              <w:t>20</w:t>
            </w:r>
            <w:r>
              <w:t> mg/kg</w:t>
            </w:r>
            <w:r>
              <w:noBreakHyphen/>
            </w:r>
            <w:proofErr w:type="spellStart"/>
            <w:r>
              <w:t>bw</w:t>
            </w:r>
            <w:proofErr w:type="spellEnd"/>
            <w:r w:rsidRPr="004A774C">
              <w:t>/day</w:t>
            </w:r>
            <w:r w:rsidRPr="004A774C">
              <w:br/>
            </w:r>
            <w:r w:rsidRPr="004A774C">
              <w:rPr>
                <w:b/>
                <w:bCs/>
              </w:rPr>
              <w:t>Basis:</w:t>
            </w:r>
            <w:r w:rsidRPr="004A774C">
              <w:t xml:space="preserve"> </w:t>
            </w:r>
            <w:r>
              <w:t>B</w:t>
            </w:r>
            <w:r w:rsidRPr="004A774C">
              <w:t>ased on effects to the liver and hematological and chemistry parameters observed at the high dose (100</w:t>
            </w:r>
            <w:r>
              <w:t> mg/kg</w:t>
            </w:r>
            <w:r>
              <w:noBreakHyphen/>
            </w:r>
            <w:proofErr w:type="spellStart"/>
            <w:r>
              <w:t>bw</w:t>
            </w:r>
            <w:proofErr w:type="spellEnd"/>
            <w:r w:rsidRPr="004A774C">
              <w:t>/day)</w:t>
            </w:r>
            <w:r>
              <w:t>—</w:t>
            </w:r>
            <w:r w:rsidRPr="004A774C">
              <w:t>reversible periportal fatty changes of the liver in females without an increase of liver weight and increased total serum protein in females.</w:t>
            </w:r>
          </w:p>
          <w:p w14:paraId="79D38DA9" w14:textId="77777777" w:rsidR="003841B3" w:rsidRPr="004A774C" w:rsidRDefault="003841B3" w:rsidP="000F7882">
            <w:pPr>
              <w:pStyle w:val="ITRCTableText"/>
            </w:pPr>
            <w:r w:rsidRPr="004A774C">
              <w:rPr>
                <w:b/>
                <w:bCs/>
              </w:rPr>
              <w:t>LOAEL:</w:t>
            </w:r>
            <w:r w:rsidRPr="004A774C">
              <w:t xml:space="preserve"> 100</w:t>
            </w:r>
            <w:r>
              <w:t> mg/kg</w:t>
            </w:r>
            <w:r>
              <w:noBreakHyphen/>
            </w:r>
            <w:proofErr w:type="spellStart"/>
            <w:r>
              <w:t>bw</w:t>
            </w:r>
            <w:proofErr w:type="spellEnd"/>
            <w:r w:rsidRPr="004A774C">
              <w:t>/day</w:t>
            </w:r>
            <w:r w:rsidRPr="004A774C">
              <w:br/>
            </w:r>
            <w:r w:rsidRPr="004A774C">
              <w:rPr>
                <w:b/>
                <w:bCs/>
              </w:rPr>
              <w:t>Basis:</w:t>
            </w:r>
            <w:r w:rsidRPr="004A774C">
              <w:t xml:space="preserve"> </w:t>
            </w:r>
            <w:r>
              <w:t>A</w:t>
            </w:r>
            <w:r w:rsidRPr="004A774C">
              <w:t>n increase in relative liver weights in both sexes</w:t>
            </w:r>
            <w:r>
              <w:t>,</w:t>
            </w:r>
            <w:r w:rsidRPr="004A774C">
              <w:t xml:space="preserve"> accompanied by</w:t>
            </w:r>
            <w:r>
              <w:t xml:space="preserve"> changes </w:t>
            </w:r>
            <w:proofErr w:type="gramStart"/>
            <w:r>
              <w:t xml:space="preserve">in </w:t>
            </w:r>
            <w:r w:rsidRPr="004A774C">
              <w:t xml:space="preserve"> periportal</w:t>
            </w:r>
            <w:proofErr w:type="gramEnd"/>
            <w:r w:rsidRPr="004A774C">
              <w:t xml:space="preserve"> fatty change, clinical chemistry, hematological parameters</w:t>
            </w:r>
            <w:r>
              <w:t>,</w:t>
            </w:r>
            <w:r w:rsidRPr="004A774C">
              <w:t xml:space="preserve"> indicating an existing anemia</w:t>
            </w:r>
            <w:r>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43EE77B1" w14:textId="77777777" w:rsidR="003841B3" w:rsidRPr="004A774C" w:rsidRDefault="003841B3" w:rsidP="000F7882">
            <w:pPr>
              <w:pStyle w:val="ITRCTableText"/>
            </w:pPr>
            <w:r>
              <w:fldChar w:fldCharType="begin"/>
            </w:r>
            <w:r>
              <w:instrText xml:space="preserve"> ADDIN ZOTERO_ITEM CSL_CITATION {"citationID":"JLQuAhPV","properties":{"formattedCitation":"(OECD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label":"page"}],"schema":"https://github.com/citation-style-language/schema/raw/master/csl-citation.json"} </w:instrText>
            </w:r>
            <w:r>
              <w:fldChar w:fldCharType="separate"/>
            </w:r>
            <w:r w:rsidRPr="00F0331C">
              <w:t>(OECD 2004)</w:t>
            </w:r>
            <w:r>
              <w:fldChar w:fldCharType="end"/>
            </w:r>
            <w:r>
              <w:br/>
            </w:r>
            <w:hyperlink r:id="rId26" w:history="1">
              <w:r w:rsidRPr="00E57172">
                <w:rPr>
                  <w:rStyle w:val="Hyperlink"/>
                </w:rPr>
                <w:t>https://hpvchemicals.oecd.org/UI/handler.axd?id=5e1a446c-5969-479c-9270-7ced8726952e</w:t>
              </w:r>
            </w:hyperlink>
            <w:r w:rsidRPr="004A774C">
              <w:t>.</w:t>
            </w:r>
          </w:p>
        </w:tc>
      </w:tr>
      <w:tr w:rsidR="009D312B" w:rsidRPr="004A774C" w14:paraId="1C3D68AA"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D52F2AF"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4234D1CE" w14:textId="77777777" w:rsidR="003841B3" w:rsidRPr="004A774C" w:rsidRDefault="003841B3" w:rsidP="000F7882">
            <w:pPr>
              <w:pStyle w:val="ITRCTableTextCentered"/>
            </w:pPr>
            <w:r w:rsidRPr="004A774C">
              <w:t>Genotoxicity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7F61A872" w14:textId="77777777" w:rsidR="003841B3" w:rsidRDefault="003841B3" w:rsidP="000F7882">
            <w:pPr>
              <w:pStyle w:val="ITRCTableText"/>
            </w:pPr>
            <w:r>
              <w:rPr>
                <w:i/>
                <w:iCs/>
              </w:rPr>
              <w:t>I</w:t>
            </w:r>
            <w:r w:rsidRPr="004A774C">
              <w:rPr>
                <w:i/>
                <w:iCs/>
              </w:rPr>
              <w:t>n vitro</w:t>
            </w:r>
            <w:r w:rsidRPr="004A774C">
              <w:t xml:space="preserve"> OECD Guideline 471(bacterial mutation assay)</w:t>
            </w:r>
          </w:p>
          <w:p w14:paraId="60880ABC" w14:textId="77777777" w:rsidR="003841B3" w:rsidRDefault="003841B3" w:rsidP="000F7882">
            <w:pPr>
              <w:pStyle w:val="ITRCTableText"/>
            </w:pPr>
            <w:r w:rsidRPr="004A774C">
              <w:t>µg/plate: TA1535, TA1537/-S9mix: up to 19.5; TA98, 100/-S9mix: up to 78.1; TA100, TA1535, TA1537/+S9mix: up to 156; TA98/+S9mix: up to 625</w:t>
            </w:r>
          </w:p>
          <w:p w14:paraId="5E10A8BC" w14:textId="77777777" w:rsidR="003841B3" w:rsidRPr="004A774C" w:rsidRDefault="003841B3" w:rsidP="000F7882">
            <w:pPr>
              <w:pStyle w:val="ITRCTableText"/>
            </w:pPr>
            <w:r w:rsidRPr="008020FC">
              <w:rPr>
                <w:i/>
                <w:iCs/>
              </w:rPr>
              <w:t>E. coli:</w:t>
            </w:r>
            <w:r w:rsidRPr="004A774C">
              <w:t xml:space="preserve"> 313, 625, 1</w:t>
            </w:r>
            <w:r>
              <w:t>,</w:t>
            </w:r>
            <w:r w:rsidRPr="004A774C">
              <w:t>250, 2</w:t>
            </w:r>
            <w:r>
              <w:t>,</w:t>
            </w:r>
            <w:r w:rsidRPr="004A774C">
              <w:t>500, 5</w:t>
            </w:r>
            <w:r>
              <w:t>,</w:t>
            </w:r>
            <w:r w:rsidRPr="004A774C">
              <w:t>000 µg/plate</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4026175A" w14:textId="77777777" w:rsidR="003841B3" w:rsidRDefault="003841B3" w:rsidP="000F7882">
            <w:pPr>
              <w:pStyle w:val="ITRCTableText"/>
            </w:pPr>
            <w:r w:rsidRPr="008020FC">
              <w:rPr>
                <w:i/>
                <w:iCs/>
              </w:rPr>
              <w:t>S. typhimurium</w:t>
            </w:r>
            <w:r w:rsidRPr="004A774C">
              <w:t xml:space="preserve"> TA 1535, TA 1537, TA 98 and TA 100</w:t>
            </w:r>
          </w:p>
          <w:p w14:paraId="105AB67C" w14:textId="77777777" w:rsidR="003841B3" w:rsidRPr="004A774C" w:rsidRDefault="003841B3" w:rsidP="000F7882">
            <w:pPr>
              <w:pStyle w:val="ITRCTableText"/>
            </w:pPr>
            <w:r w:rsidRPr="008020FC">
              <w:rPr>
                <w:i/>
                <w:iCs/>
              </w:rPr>
              <w:t>E. coli</w:t>
            </w:r>
            <w:r w:rsidRPr="004A774C">
              <w:t xml:space="preserve"> </w:t>
            </w:r>
            <w:r>
              <w:t xml:space="preserve">strain </w:t>
            </w:r>
            <w:r w:rsidRPr="004A774C">
              <w:t>WP2uvrA</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03175DE9" w14:textId="77777777" w:rsidR="003841B3" w:rsidRPr="004A774C" w:rsidRDefault="003841B3" w:rsidP="000F7882">
            <w:pPr>
              <w:pStyle w:val="ITRCTableText"/>
            </w:pPr>
            <w:r w:rsidRPr="004A774C">
              <w:t xml:space="preserve">No genotoxic potential of 6PPD was indicated. 6PPD did not induce gene mutation in </w:t>
            </w:r>
            <w:r w:rsidRPr="008020FC">
              <w:rPr>
                <w:i/>
                <w:iCs/>
              </w:rPr>
              <w:t>S. typhimurium</w:t>
            </w:r>
            <w:r w:rsidRPr="004A774C">
              <w:t xml:space="preserve"> tester strains or </w:t>
            </w:r>
            <w:r w:rsidRPr="008020FC">
              <w:rPr>
                <w:i/>
                <w:iCs/>
              </w:rPr>
              <w:t>E. coli</w:t>
            </w:r>
            <w:r w:rsidRPr="004A774C">
              <w:t xml:space="preserve"> </w:t>
            </w:r>
            <w:proofErr w:type="gramStart"/>
            <w:r>
              <w:t>strain</w:t>
            </w:r>
            <w:proofErr w:type="gramEnd"/>
            <w:r>
              <w:t xml:space="preserve"> </w:t>
            </w:r>
            <w:r w:rsidRPr="004A774C">
              <w:t>WP2uvrA with and without metabolic activation.</w:t>
            </w:r>
          </w:p>
        </w:tc>
        <w:tc>
          <w:tcPr>
            <w:tcW w:w="3240" w:type="dxa"/>
            <w:tcBorders>
              <w:top w:val="nil"/>
              <w:left w:val="nil"/>
              <w:bottom w:val="single" w:sz="4" w:space="0" w:color="auto"/>
              <w:right w:val="single" w:sz="4" w:space="0" w:color="auto"/>
            </w:tcBorders>
            <w:shd w:val="clear" w:color="auto" w:fill="EAF1DD" w:themeFill="accent3" w:themeFillTint="33"/>
            <w:hideMark/>
          </w:tcPr>
          <w:p w14:paraId="327A633A" w14:textId="77777777" w:rsidR="003841B3" w:rsidRPr="004A774C" w:rsidRDefault="00A85D6C" w:rsidP="000F7882">
            <w:pPr>
              <w:pStyle w:val="ITRCTableText"/>
            </w:pPr>
            <w:hyperlink r:id="rId27" w:history="1">
              <w:r w:rsidR="003841B3" w:rsidRPr="001F0EB3">
                <w:rPr>
                  <w:rStyle w:val="Hyperlink"/>
                </w:rPr>
                <w:t>Shibuya T, Hara T, Kawakami K, 1999</w:t>
              </w:r>
            </w:hyperlink>
            <w:r w:rsidR="003841B3">
              <w:t>,</w:t>
            </w:r>
            <w:r w:rsidR="003841B3" w:rsidRPr="004A774C">
              <w:t xml:space="preserve"> </w:t>
            </w:r>
            <w:r w:rsidR="003841B3">
              <w:t xml:space="preserve">as referenced in </w:t>
            </w:r>
            <w:r w:rsidR="003841B3">
              <w:fldChar w:fldCharType="begin"/>
            </w:r>
            <w:r w:rsidR="003841B3">
              <w:instrText xml:space="preserve"> ADDIN ZOTERO_ITEM CSL_CITATION {"citationID":"jdmN0cP2","properties":{"formattedCitation":"(ECHA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p>
        </w:tc>
      </w:tr>
      <w:tr w:rsidR="009D312B" w:rsidRPr="004A774C" w14:paraId="313F3064"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AE4FBE6"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3DA0A4F6" w14:textId="77777777" w:rsidR="003841B3" w:rsidRPr="004A774C" w:rsidRDefault="003841B3" w:rsidP="000F7882">
            <w:pPr>
              <w:pStyle w:val="ITRCTableTextCentered"/>
            </w:pPr>
            <w:r w:rsidRPr="004A774C">
              <w:t>Genotoxicity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56E53553" w14:textId="77777777" w:rsidR="003841B3" w:rsidRDefault="003841B3" w:rsidP="000F7882">
            <w:pPr>
              <w:pStyle w:val="ITRCTableText"/>
            </w:pPr>
            <w:r>
              <w:rPr>
                <w:i/>
                <w:iCs/>
              </w:rPr>
              <w:t>I</w:t>
            </w:r>
            <w:r w:rsidRPr="004A774C">
              <w:rPr>
                <w:i/>
                <w:iCs/>
              </w:rPr>
              <w:t xml:space="preserve">n vitro </w:t>
            </w:r>
            <w:r w:rsidRPr="004A774C">
              <w:t>mammalian cell gene mutation assay</w:t>
            </w:r>
          </w:p>
          <w:p w14:paraId="323BA7B1" w14:textId="1624263D" w:rsidR="003841B3" w:rsidRPr="004A774C" w:rsidRDefault="003841B3" w:rsidP="000F7882">
            <w:pPr>
              <w:pStyle w:val="ITRCTableText"/>
            </w:pPr>
            <w:r w:rsidRPr="004A774C">
              <w:t>pre-test: 0.33 to 333</w:t>
            </w:r>
            <w:r>
              <w:t> µg/</w:t>
            </w:r>
            <w:r w:rsidR="00192AF8">
              <w:t>mL</w:t>
            </w:r>
            <w:r w:rsidRPr="004A774C">
              <w:t xml:space="preserve">, pre-test II </w:t>
            </w:r>
            <w:r>
              <w:t>−</w:t>
            </w:r>
            <w:r w:rsidRPr="004A774C">
              <w:t>S9: 0.5 to 5</w:t>
            </w:r>
            <w:r>
              <w:t> µg/</w:t>
            </w:r>
            <w:r w:rsidR="00192AF8">
              <w:t>mL</w:t>
            </w:r>
            <w:r w:rsidRPr="004A774C">
              <w:t>, +S9: 1 to 20</w:t>
            </w:r>
            <w:r>
              <w:t> µg/</w:t>
            </w:r>
            <w:r w:rsidR="00192AF8">
              <w:t>mL</w:t>
            </w:r>
            <w:r w:rsidRPr="004A774C">
              <w:t xml:space="preserve">, main experiment I: </w:t>
            </w:r>
            <w:r>
              <w:t>−</w:t>
            </w:r>
            <w:r w:rsidRPr="004A774C">
              <w:t>S9 1 to 5</w:t>
            </w:r>
            <w:r>
              <w:t> µg/</w:t>
            </w:r>
            <w:r w:rsidR="00192AF8">
              <w:t>mL</w:t>
            </w:r>
            <w:r w:rsidRPr="004A774C">
              <w:t>, +S9: 1 to 24</w:t>
            </w:r>
            <w:r>
              <w:t> µg/</w:t>
            </w:r>
            <w:r w:rsidR="00192AF8">
              <w:t>mL</w:t>
            </w:r>
            <w:r w:rsidRPr="004A774C">
              <w:t xml:space="preserve">, main experiment II and III: </w:t>
            </w:r>
            <w:r>
              <w:t>−</w:t>
            </w:r>
            <w:r w:rsidRPr="004A774C">
              <w:t>S9 1 to 5</w:t>
            </w:r>
            <w:r>
              <w:t> µg/</w:t>
            </w:r>
            <w:r w:rsidR="00192AF8">
              <w:t>mL</w:t>
            </w:r>
            <w:r w:rsidRPr="004A774C">
              <w:t>, +S9: 3 to 15</w:t>
            </w:r>
            <w:r>
              <w:t> µg/</w:t>
            </w:r>
            <w:r w:rsidR="00192AF8">
              <w:t>mL</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359CF26A" w14:textId="77777777" w:rsidR="003841B3" w:rsidRPr="004A774C" w:rsidRDefault="003841B3" w:rsidP="000F7882">
            <w:pPr>
              <w:pStyle w:val="ITRCTableText"/>
            </w:pPr>
            <w:r w:rsidRPr="004A774C">
              <w:t xml:space="preserve">Chinese hamster </w:t>
            </w:r>
            <w:r>
              <w:t>o</w:t>
            </w:r>
            <w:r w:rsidRPr="004A774C">
              <w:t>vary</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610CA06D" w14:textId="494CF52F" w:rsidR="003841B3" w:rsidRPr="004A774C" w:rsidRDefault="003841B3" w:rsidP="000F7882">
            <w:pPr>
              <w:pStyle w:val="ITRCTableText"/>
            </w:pPr>
            <w:r w:rsidRPr="004A774C">
              <w:t>6PPD did not induce mutagenicity in the presence or absence of metabolic activation. The ranges of concentrations for all experiments (including the cytotoxicity</w:t>
            </w:r>
            <w:r>
              <w:t>-</w:t>
            </w:r>
            <w:r w:rsidRPr="004A774C">
              <w:t>range</w:t>
            </w:r>
            <w:r>
              <w:t xml:space="preserve"> </w:t>
            </w:r>
            <w:r w:rsidRPr="004A774C">
              <w:t>finding experiments) that induced significant cytotoxicity were 3.3</w:t>
            </w:r>
            <w:r>
              <w:t>–</w:t>
            </w:r>
            <w:r w:rsidRPr="004A774C">
              <w:t>5</w:t>
            </w:r>
            <w:r>
              <w:t> µg/</w:t>
            </w:r>
            <w:r w:rsidR="00192AF8">
              <w:t>mL</w:t>
            </w:r>
            <w:r w:rsidRPr="004A774C">
              <w:t>, 6</w:t>
            </w:r>
            <w:r>
              <w:t>–</w:t>
            </w:r>
            <w:r w:rsidRPr="004A774C">
              <w:t>10</w:t>
            </w:r>
            <w:r>
              <w:t> µg/</w:t>
            </w:r>
            <w:r w:rsidR="00192AF8">
              <w:t>mL</w:t>
            </w:r>
            <w:r w:rsidRPr="004A774C">
              <w:t>, 8</w:t>
            </w:r>
            <w:r w:rsidRPr="00A32951">
              <w:t>–</w:t>
            </w:r>
            <w:r w:rsidRPr="004A774C">
              <w:t>10</w:t>
            </w:r>
            <w:r>
              <w:t> µg/</w:t>
            </w:r>
            <w:r w:rsidR="00192AF8">
              <w:t>mL</w:t>
            </w:r>
            <w:r w:rsidRPr="004A774C">
              <w:t>, 9</w:t>
            </w:r>
            <w:r>
              <w:t>–</w:t>
            </w:r>
            <w:r w:rsidRPr="004A774C">
              <w:t>15</w:t>
            </w:r>
            <w:r>
              <w:t> µg/</w:t>
            </w:r>
            <w:r w:rsidR="00192AF8">
              <w:t>mL</w:t>
            </w:r>
            <w:r w:rsidRPr="004A774C">
              <w:t xml:space="preserve"> and 10</w:t>
            </w:r>
            <w:r>
              <w:t>–</w:t>
            </w:r>
            <w:r w:rsidRPr="004A774C">
              <w:t xml:space="preserve">24 </w:t>
            </w:r>
            <w:proofErr w:type="spellStart"/>
            <w:r>
              <w:t>μ</w:t>
            </w:r>
            <w:r w:rsidRPr="004A774C">
              <w:t>g</w:t>
            </w:r>
            <w:proofErr w:type="spellEnd"/>
            <w:r w:rsidRPr="004A774C">
              <w:t>/</w:t>
            </w:r>
            <w:r w:rsidR="00192AF8">
              <w:t>mL</w:t>
            </w:r>
            <w:r w:rsidRPr="004A774C">
              <w:t xml:space="preserve"> in the absence of S) and in the presence of 1%, 2%, 5%, and 10% S9, respectively.</w:t>
            </w:r>
          </w:p>
        </w:tc>
        <w:tc>
          <w:tcPr>
            <w:tcW w:w="3240" w:type="dxa"/>
            <w:tcBorders>
              <w:top w:val="nil"/>
              <w:left w:val="nil"/>
              <w:bottom w:val="single" w:sz="4" w:space="0" w:color="auto"/>
              <w:right w:val="single" w:sz="4" w:space="0" w:color="auto"/>
            </w:tcBorders>
            <w:shd w:val="clear" w:color="auto" w:fill="EAF1DD" w:themeFill="accent3" w:themeFillTint="33"/>
            <w:hideMark/>
          </w:tcPr>
          <w:p w14:paraId="3C736039" w14:textId="77777777" w:rsidR="003841B3" w:rsidRPr="004A774C" w:rsidRDefault="003841B3" w:rsidP="000F7882">
            <w:pPr>
              <w:pStyle w:val="ITRCTableText"/>
            </w:pPr>
            <w:r w:rsidRPr="001314E5">
              <w:t>Monsanto Chemical Co. (1987) unpublished study Project MSL No. 6346 1/87</w:t>
            </w:r>
            <w:r w:rsidRPr="004A774C">
              <w:t xml:space="preserve">, </w:t>
            </w:r>
            <w:r>
              <w:t xml:space="preserve">as </w:t>
            </w:r>
            <w:r w:rsidRPr="004A774C">
              <w:t xml:space="preserve">cited in </w:t>
            </w:r>
            <w:r>
              <w:fldChar w:fldCharType="begin"/>
            </w:r>
            <w:r>
              <w:instrText xml:space="preserve"> ADDIN ZOTERO_ITEM CSL_CITATION {"citationID":"Llujqe92","properties":{"formattedCitation":"(OECD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Pr="00D2599F">
              <w:t>(OECD 2004)</w:t>
            </w:r>
            <w:r>
              <w:fldChar w:fldCharType="end"/>
            </w:r>
            <w:r w:rsidRPr="004A774C">
              <w:t>.</w:t>
            </w:r>
          </w:p>
        </w:tc>
      </w:tr>
      <w:tr w:rsidR="009D312B" w:rsidRPr="004A774C" w14:paraId="3CCF4C93"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0304351"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36937635" w14:textId="77777777" w:rsidR="003841B3" w:rsidRPr="004A774C" w:rsidRDefault="003841B3" w:rsidP="000F7882">
            <w:pPr>
              <w:pStyle w:val="ITRCTableTextCentered"/>
            </w:pPr>
            <w:r w:rsidRPr="004A774C">
              <w:t>Genotoxicity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522AABCA" w14:textId="36C4E224" w:rsidR="003841B3" w:rsidRPr="004A774C" w:rsidRDefault="003841B3" w:rsidP="000F7882">
            <w:pPr>
              <w:pStyle w:val="ITRCTableText"/>
            </w:pPr>
            <w:r>
              <w:rPr>
                <w:i/>
                <w:iCs/>
              </w:rPr>
              <w:t>I</w:t>
            </w:r>
            <w:r w:rsidRPr="004A774C">
              <w:rPr>
                <w:i/>
                <w:iCs/>
              </w:rPr>
              <w:t xml:space="preserve">n vitro </w:t>
            </w:r>
            <w:r w:rsidRPr="004A774C">
              <w:t>OECD Guideline 473 (In Vitro Mammalian Chromosome Aberration Test)</w:t>
            </w:r>
            <w:r w:rsidRPr="004A774C">
              <w:br w:type="page"/>
            </w:r>
            <w:r w:rsidRPr="004A774C">
              <w:br w:type="page"/>
              <w:t>continuous treatment/-S9mix: 0, 0.0025, 0.0050, 0.010 mg/</w:t>
            </w:r>
            <w:r w:rsidR="00192AF8">
              <w:t>mL</w:t>
            </w:r>
            <w:r w:rsidRPr="004A774C">
              <w:t xml:space="preserve">; </w:t>
            </w:r>
            <w:r w:rsidRPr="004A774C">
              <w:br w:type="page"/>
              <w:t xml:space="preserve">short-term treatment: </w:t>
            </w:r>
            <w:r>
              <w:t>−</w:t>
            </w:r>
            <w:r w:rsidRPr="004A774C">
              <w:t>S9-mix: 0, 0.00063, 0.0013, 0.0025 mg/</w:t>
            </w:r>
            <w:r w:rsidR="00192AF8">
              <w:t>mL</w:t>
            </w:r>
            <w:r w:rsidRPr="004A774C">
              <w:t>; +S9mix: 0, 0.0038, 0.0075, 0.015 mg/</w:t>
            </w:r>
            <w:r w:rsidR="00192AF8">
              <w:t>mL</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4A0D4ABC" w14:textId="77777777" w:rsidR="003841B3" w:rsidRPr="004A774C" w:rsidRDefault="003841B3" w:rsidP="000F7882">
            <w:pPr>
              <w:pStyle w:val="ITRCTableText"/>
            </w:pPr>
            <w:r w:rsidRPr="004A774C">
              <w:t>Chinese hamster lung cells</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7AF8ECC7" w14:textId="48FBC573" w:rsidR="003841B3" w:rsidRPr="004A774C" w:rsidRDefault="003841B3" w:rsidP="000F7882">
            <w:pPr>
              <w:pStyle w:val="ITRCTableText"/>
            </w:pPr>
            <w:r w:rsidRPr="004A774C">
              <w:t xml:space="preserve">A chromosomal aberration test with Chinese hamster lung cells was performed with harvest times of 6 hours (short-term treatment) both with and without metabolic activation (S9-mix) and with harvest times of 24 and 48 hours (continuous treatment) in the absence of a metabolic activation system. </w:t>
            </w:r>
            <w:r w:rsidRPr="004A774C">
              <w:br w:type="page"/>
            </w:r>
            <w:r w:rsidRPr="004A774C">
              <w:br w:type="page"/>
              <w:t xml:space="preserve">No chromosomal aberrations were </w:t>
            </w:r>
            <w:proofErr w:type="gramStart"/>
            <w:r w:rsidRPr="004A774C">
              <w:t>observed ,with</w:t>
            </w:r>
            <w:proofErr w:type="gramEnd"/>
            <w:r w:rsidRPr="004A774C">
              <w:t xml:space="preserve"> metabolic activation, after 6 hours of exposure to 6PPD. For the continuous treatment, without metabolic activation, the data indicated a dose-dependent increase in chromosomal aberrations after 24 hours (0.005 mg/</w:t>
            </w:r>
            <w:r w:rsidR="00192AF8">
              <w:t>mL</w:t>
            </w:r>
            <w:r w:rsidRPr="004A774C">
              <w:t>) and 48 hours (0.01 mg/</w:t>
            </w:r>
            <w:r w:rsidR="00192AF8">
              <w:t>mL</w:t>
            </w:r>
            <w:r w:rsidRPr="004A774C">
              <w:t xml:space="preserve">). </w:t>
            </w:r>
            <w:r w:rsidRPr="004A774C">
              <w:br w:type="page"/>
            </w:r>
            <w:r w:rsidRPr="004A774C">
              <w:br w:type="page"/>
              <w:t xml:space="preserve">The study authors concluded that 6PPD showed clastogenic activity in CHL cells in vitro. This finding has not been confirmed in vivo </w:t>
            </w:r>
            <w:r>
              <w:fldChar w:fldCharType="begin"/>
            </w:r>
            <w:r>
              <w:instrText xml:space="preserve"> ADDIN ZOTERO_ITEM CSL_CITATION {"citationID":"Llujqe92","properties":{"formattedCitation":"(OECD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Pr="00D2599F">
              <w:t>(OECD 2004)</w:t>
            </w:r>
            <w:r>
              <w:fldChar w:fldCharType="end"/>
            </w:r>
            <w:r w:rsidRPr="004A774C">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3AA0905E" w14:textId="77777777" w:rsidR="003841B3" w:rsidRPr="004A774C" w:rsidRDefault="003841B3" w:rsidP="000F7882">
            <w:pPr>
              <w:pStyle w:val="ITRCTableText"/>
            </w:pPr>
            <w:r w:rsidRPr="004A774C">
              <w:t xml:space="preserve">Tanaka N, Kusakabe H, Nakagawa Y, </w:t>
            </w:r>
            <w:proofErr w:type="spellStart"/>
            <w:r w:rsidRPr="004A774C">
              <w:t>Takahasi</w:t>
            </w:r>
            <w:proofErr w:type="spellEnd"/>
            <w:r w:rsidRPr="004A774C">
              <w:t xml:space="preserve"> T, Hashimoto K, 1999. In vitro chromosomal aberration test of N-(1,3- </w:t>
            </w:r>
            <w:proofErr w:type="spellStart"/>
            <w:r w:rsidRPr="004A774C">
              <w:t>dimethylbutyl</w:t>
            </w:r>
            <w:proofErr w:type="spellEnd"/>
            <w:r w:rsidRPr="004A774C">
              <w:t>)-N'-phenyl-p-phenylenediamine on cultured Chinese hamster cells.</w:t>
            </w:r>
            <w:r w:rsidRPr="004A774C">
              <w:br w:type="page"/>
              <w:t>Tox Testing Rep Environ Chemicals 7: 537</w:t>
            </w:r>
            <w:r>
              <w:t>–</w:t>
            </w:r>
            <w:r w:rsidRPr="004A774C">
              <w:t xml:space="preserve">541, </w:t>
            </w:r>
            <w:r>
              <w:t xml:space="preserve">as </w:t>
            </w:r>
            <w:r w:rsidRPr="004A774C">
              <w:t xml:space="preserve">cited in </w:t>
            </w:r>
            <w:r>
              <w:fldChar w:fldCharType="begin"/>
            </w:r>
            <w:r>
              <w:instrText xml:space="preserve"> ADDIN ZOTERO_ITEM CSL_CITATION {"citationID":"Llujqe92","properties":{"formattedCitation":"(OECD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Pr="00D2599F">
              <w:t>(OECD 2004)</w:t>
            </w:r>
            <w:r>
              <w:fldChar w:fldCharType="end"/>
            </w:r>
            <w:r w:rsidRPr="004A774C">
              <w:t>.</w:t>
            </w:r>
          </w:p>
        </w:tc>
      </w:tr>
      <w:tr w:rsidR="009D312B" w:rsidRPr="004A774C" w14:paraId="31B18B7B"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7B988DA" w14:textId="77777777" w:rsidR="003841B3" w:rsidRPr="004A774C" w:rsidRDefault="003841B3" w:rsidP="000F7882">
            <w:pPr>
              <w:pStyle w:val="ITRCTableTextCentered"/>
            </w:pPr>
            <w:r w:rsidRPr="004A774C">
              <w:lastRenderedPageBreak/>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23C41127" w14:textId="77777777" w:rsidR="003841B3" w:rsidRPr="004A774C" w:rsidRDefault="003841B3" w:rsidP="000F7882">
            <w:pPr>
              <w:pStyle w:val="ITRCTableTextCentered"/>
            </w:pPr>
            <w:r w:rsidRPr="004A774C">
              <w:t>Genotoxicity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33D2C5AF" w14:textId="77777777" w:rsidR="003841B3" w:rsidRPr="004A774C" w:rsidRDefault="003841B3" w:rsidP="000F7882">
            <w:pPr>
              <w:pStyle w:val="ITRCTableText"/>
            </w:pPr>
            <w:r w:rsidRPr="004A774C">
              <w:t>In an</w:t>
            </w:r>
            <w:r w:rsidRPr="003568C0">
              <w:t xml:space="preserve"> </w:t>
            </w:r>
            <w:r w:rsidRPr="008020FC">
              <w:t>in vivo</w:t>
            </w:r>
            <w:r w:rsidRPr="003568C0">
              <w:t xml:space="preserve"> </w:t>
            </w:r>
            <w:r w:rsidRPr="004A774C">
              <w:t>bone marrow chromosome aberration assay, male and female</w:t>
            </w:r>
            <w:r>
              <w:t xml:space="preserve"> </w:t>
            </w:r>
            <w:r w:rsidRPr="004A774C">
              <w:t>Sprague-Dawley rats were exposed to one dose of 900, 1</w:t>
            </w:r>
            <w:r>
              <w:t>,</w:t>
            </w:r>
            <w:r w:rsidRPr="004A774C">
              <w:t xml:space="preserve">300, </w:t>
            </w:r>
            <w:r>
              <w:t xml:space="preserve">or </w:t>
            </w:r>
            <w:r w:rsidRPr="004A774C">
              <w:t>1</w:t>
            </w:r>
            <w:r>
              <w:t>,</w:t>
            </w:r>
            <w:r w:rsidRPr="004A774C">
              <w:t>790</w:t>
            </w:r>
            <w:r>
              <w:t> mg/kg</w:t>
            </w:r>
            <w:r>
              <w:noBreakHyphen/>
            </w:r>
            <w:proofErr w:type="spellStart"/>
            <w:r>
              <w:t>bw</w:t>
            </w:r>
            <w:proofErr w:type="spellEnd"/>
            <w:r w:rsidRPr="004A774C">
              <w:t>/day (preliminary study) or 1</w:t>
            </w:r>
            <w:r>
              <w:t>,</w:t>
            </w:r>
            <w:r w:rsidRPr="004A774C">
              <w:t>000</w:t>
            </w:r>
            <w:r>
              <w:t> mg/kg</w:t>
            </w:r>
            <w:r>
              <w:noBreakHyphen/>
            </w:r>
            <w:proofErr w:type="spellStart"/>
            <w:r>
              <w:t>bw</w:t>
            </w:r>
            <w:proofErr w:type="spellEnd"/>
            <w:r w:rsidRPr="004A774C">
              <w:t>/day (main study) of 6PPD</w:t>
            </w:r>
            <w:r>
              <w:t>.</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37F68D1D" w14:textId="77777777" w:rsidR="003841B3" w:rsidRPr="004A774C" w:rsidRDefault="003841B3" w:rsidP="000F7882">
            <w:pPr>
              <w:pStyle w:val="ITRCTableText"/>
            </w:pPr>
            <w:r w:rsidRPr="004A774C">
              <w:t>Sprague-Dawley rat (</w:t>
            </w:r>
            <w:r>
              <w:t>five</w:t>
            </w:r>
            <w:r w:rsidRPr="004A774C">
              <w:t xml:space="preserve"> rats per sex per dose)</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08905067" w14:textId="77777777" w:rsidR="003841B3" w:rsidRDefault="003841B3" w:rsidP="000F7882">
            <w:pPr>
              <w:pStyle w:val="ITRCTableText"/>
            </w:pPr>
            <w:r w:rsidRPr="004A774C">
              <w:t>6PPD (1</w:t>
            </w:r>
            <w:r>
              <w:t>,</w:t>
            </w:r>
            <w:r w:rsidRPr="004A774C">
              <w:t>000</w:t>
            </w:r>
            <w:r>
              <w:t> mg/kg</w:t>
            </w:r>
            <w:r>
              <w:noBreakHyphen/>
            </w:r>
            <w:proofErr w:type="spellStart"/>
            <w:r>
              <w:t>bw</w:t>
            </w:r>
            <w:proofErr w:type="spellEnd"/>
            <w:r w:rsidRPr="004A774C">
              <w:t>/day) did not induce structural chromosomal aberrations to hemopoietic cells of the rat bone marrow.</w:t>
            </w:r>
          </w:p>
          <w:p w14:paraId="2369421B" w14:textId="77777777" w:rsidR="003841B3" w:rsidRPr="004A774C" w:rsidRDefault="003841B3" w:rsidP="000F7882">
            <w:pPr>
              <w:pStyle w:val="ITRCTableText"/>
            </w:pPr>
            <w:r w:rsidRPr="004A774C">
              <w:t>Clinical signs observed at 6</w:t>
            </w:r>
            <w:r>
              <w:t>h</w:t>
            </w:r>
            <w:r w:rsidRPr="004A774C">
              <w:t>, 18</w:t>
            </w:r>
            <w:r>
              <w:t>h,</w:t>
            </w:r>
            <w:r w:rsidRPr="004A774C">
              <w:t xml:space="preserve"> and 30</w:t>
            </w:r>
            <w:r>
              <w:t>h</w:t>
            </w:r>
            <w:r w:rsidRPr="004A774C">
              <w:t xml:space="preserve"> after application in animals treated with 1</w:t>
            </w:r>
            <w:r>
              <w:t>,</w:t>
            </w:r>
            <w:r w:rsidRPr="004A774C">
              <w:t>000</w:t>
            </w:r>
            <w:r>
              <w:t> mg/kg</w:t>
            </w:r>
            <w:r>
              <w:noBreakHyphen/>
            </w:r>
            <w:proofErr w:type="spellStart"/>
            <w:r>
              <w:t>bw</w:t>
            </w:r>
            <w:proofErr w:type="spellEnd"/>
            <w:r w:rsidRPr="004A774C">
              <w:t>/day were abnormal gait and decreased body tone with most of the rats also exhibiting decreased activity and abnormal stance. Several animals also exhibited piloerection, diarrhea, lacrimation, tremor, body drop, staining of the anal-genital region</w:t>
            </w:r>
            <w:r>
              <w:t>,</w:t>
            </w:r>
            <w:r w:rsidRPr="004A774C">
              <w:t xml:space="preserve"> and poor grooming around the oral</w:t>
            </w:r>
            <w:r>
              <w:t xml:space="preserve"> and</w:t>
            </w:r>
            <w:r w:rsidRPr="004A774C">
              <w:t xml:space="preserve"> nasal region. No </w:t>
            </w:r>
            <w:proofErr w:type="spellStart"/>
            <w:r w:rsidRPr="004A774C">
              <w:t>pharmacotoxic</w:t>
            </w:r>
            <w:proofErr w:type="spellEnd"/>
            <w:r w:rsidRPr="004A774C">
              <w:t xml:space="preserve"> signs were observed in rats administered the vehicle or positive controls except for one male in the 6</w:t>
            </w:r>
            <w:r>
              <w:t>h</w:t>
            </w:r>
            <w:r w:rsidRPr="004A774C">
              <w:t xml:space="preserve"> corn oil group</w:t>
            </w:r>
            <w:r>
              <w:t>,</w:t>
            </w:r>
            <w:r w:rsidRPr="004A774C">
              <w:t xml:space="preserve"> which exhibited diarrhea prior to colchicine administration. Results from the 6</w:t>
            </w:r>
            <w:r>
              <w:t>h</w:t>
            </w:r>
            <w:r w:rsidRPr="004A774C">
              <w:t>, 18</w:t>
            </w:r>
            <w:r>
              <w:t>h,</w:t>
            </w:r>
            <w:r w:rsidRPr="004A774C">
              <w:t xml:space="preserve"> and 30</w:t>
            </w:r>
            <w:r>
              <w:t>h</w:t>
            </w:r>
            <w:r w:rsidRPr="004A774C">
              <w:t xml:space="preserve"> sacrifice data show that no statistically significant increase in the frequency of chromosome aberrations compared to control values was seen in the groups treated with 6PPD.</w:t>
            </w:r>
          </w:p>
        </w:tc>
        <w:tc>
          <w:tcPr>
            <w:tcW w:w="3240" w:type="dxa"/>
            <w:tcBorders>
              <w:top w:val="nil"/>
              <w:left w:val="nil"/>
              <w:bottom w:val="single" w:sz="4" w:space="0" w:color="auto"/>
              <w:right w:val="single" w:sz="4" w:space="0" w:color="auto"/>
            </w:tcBorders>
            <w:shd w:val="clear" w:color="auto" w:fill="EAF1DD" w:themeFill="accent3" w:themeFillTint="33"/>
            <w:hideMark/>
          </w:tcPr>
          <w:p w14:paraId="1819D29D" w14:textId="77777777" w:rsidR="003841B3" w:rsidRPr="004A774C" w:rsidRDefault="003841B3" w:rsidP="000F7882">
            <w:pPr>
              <w:pStyle w:val="ITRCTableText"/>
            </w:pPr>
            <w:r w:rsidRPr="00B5669E">
              <w:t>Pharmakon Research International (1988) In Vivo Bone Marrow Cytogenetics Rat Metaphase</w:t>
            </w:r>
            <w:r>
              <w:t xml:space="preserve"> </w:t>
            </w:r>
            <w:r w:rsidRPr="00B5669E">
              <w:t xml:space="preserve">Analysis PH 315-MO-001-87 (Monsanto PK 87-316), </w:t>
            </w:r>
            <w:proofErr w:type="spellStart"/>
            <w:r w:rsidRPr="00B5669E">
              <w:t>Santoflex</w:t>
            </w:r>
            <w:proofErr w:type="spellEnd"/>
            <w:r w:rsidRPr="00B5669E">
              <w:t xml:space="preserve"> 13. Unpublished study of</w:t>
            </w:r>
            <w:r>
              <w:t xml:space="preserve"> </w:t>
            </w:r>
            <w:r w:rsidRPr="00B5669E">
              <w:t>Monsanto Chemical Co. NTIS/OTS 546286, EPA/OTS document # 88-920008736</w:t>
            </w:r>
            <w:r w:rsidRPr="004A774C">
              <w:t xml:space="preserve">, </w:t>
            </w:r>
            <w:r>
              <w:t xml:space="preserve">as </w:t>
            </w:r>
            <w:r w:rsidRPr="004A774C">
              <w:t xml:space="preserve">cited in </w:t>
            </w:r>
            <w:r>
              <w:fldChar w:fldCharType="begin"/>
            </w:r>
            <w:r>
              <w:instrText xml:space="preserve"> ADDIN ZOTERO_ITEM CSL_CITATION {"citationID":"Llujqe92","properties":{"formattedCitation":"(OECD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Pr="00D2599F">
              <w:t>(OECD 2004)</w:t>
            </w:r>
            <w:r>
              <w:fldChar w:fldCharType="end"/>
            </w:r>
            <w:r>
              <w:t>.</w:t>
            </w:r>
          </w:p>
        </w:tc>
      </w:tr>
      <w:tr w:rsidR="009D312B" w:rsidRPr="004A774C" w14:paraId="70D65521"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340BB3D"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655BC68F" w14:textId="77777777" w:rsidR="003841B3" w:rsidRPr="004A774C" w:rsidRDefault="003841B3" w:rsidP="000F7882">
            <w:pPr>
              <w:pStyle w:val="ITRCTableTextCentered"/>
            </w:pPr>
            <w:r w:rsidRPr="004A774C">
              <w:t>Carcinogenic</w:t>
            </w:r>
            <w:r>
              <w:t>i</w:t>
            </w:r>
            <w:r w:rsidRPr="004A774C">
              <w:t>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0CDD4D06" w14:textId="77777777" w:rsidR="003841B3" w:rsidRPr="004A774C" w:rsidRDefault="003841B3" w:rsidP="000F7882">
            <w:pPr>
              <w:pStyle w:val="ITRCTableText"/>
            </w:pPr>
            <w:r w:rsidRPr="004A774C">
              <w:t>A two</w:t>
            </w:r>
            <w:r>
              <w:t>-</w:t>
            </w:r>
            <w:r w:rsidRPr="004A774C">
              <w:t xml:space="preserve">year OECD </w:t>
            </w:r>
            <w:r>
              <w:t>G</w:t>
            </w:r>
            <w:r w:rsidRPr="004A774C">
              <w:t>uideline 451 (carcinogenicity) study was conducted using male and female Sprague-Dawley rats exposed to 0, 50 (2.6</w:t>
            </w:r>
            <w:r>
              <w:t> mg/kg</w:t>
            </w:r>
            <w:r>
              <w:noBreakHyphen/>
            </w:r>
            <w:proofErr w:type="spellStart"/>
            <w:r>
              <w:t>bw</w:t>
            </w:r>
            <w:proofErr w:type="spellEnd"/>
            <w:r w:rsidRPr="004A774C">
              <w:t>/day for males and 3.2</w:t>
            </w:r>
            <w:r>
              <w:t> mg/kg</w:t>
            </w:r>
            <w:r>
              <w:noBreakHyphen/>
            </w:r>
            <w:proofErr w:type="spellStart"/>
            <w:r>
              <w:t>bw</w:t>
            </w:r>
            <w:proofErr w:type="spellEnd"/>
            <w:r w:rsidRPr="004A774C">
              <w:t>/day for females), 250 (13.5</w:t>
            </w:r>
            <w:r>
              <w:t> mg/kg</w:t>
            </w:r>
            <w:r>
              <w:noBreakHyphen/>
            </w:r>
            <w:proofErr w:type="spellStart"/>
            <w:r>
              <w:t>bw</w:t>
            </w:r>
            <w:proofErr w:type="spellEnd"/>
            <w:r w:rsidRPr="004A774C">
              <w:t>/day for males and 16.5</w:t>
            </w:r>
            <w:r>
              <w:t> mg/kg</w:t>
            </w:r>
            <w:r>
              <w:noBreakHyphen/>
            </w:r>
            <w:proofErr w:type="spellStart"/>
            <w:r>
              <w:t>bw</w:t>
            </w:r>
            <w:proofErr w:type="spellEnd"/>
            <w:r w:rsidRPr="004A774C">
              <w:t>/day for females)</w:t>
            </w:r>
            <w:r>
              <w:t>,</w:t>
            </w:r>
            <w:r w:rsidRPr="004A774C">
              <w:t xml:space="preserve"> or 1</w:t>
            </w:r>
            <w:r>
              <w:t>,</w:t>
            </w:r>
            <w:r w:rsidRPr="004A774C">
              <w:t>500 (84.8</w:t>
            </w:r>
            <w:r>
              <w:t> mg/kg</w:t>
            </w:r>
            <w:r>
              <w:noBreakHyphen/>
            </w:r>
            <w:proofErr w:type="spellStart"/>
            <w:r>
              <w:t>bw</w:t>
            </w:r>
            <w:proofErr w:type="spellEnd"/>
            <w:r w:rsidRPr="004A774C">
              <w:t>/day for males and 109.5</w:t>
            </w:r>
            <w:r>
              <w:t> mg/kg</w:t>
            </w:r>
            <w:r>
              <w:noBreakHyphen/>
            </w:r>
            <w:proofErr w:type="spellStart"/>
            <w:r>
              <w:t>bw</w:t>
            </w:r>
            <w:proofErr w:type="spellEnd"/>
            <w:r w:rsidRPr="004A774C">
              <w:t>/day females) ppm of 6PPD via their feed. At the beginning of the experiment</w:t>
            </w:r>
            <w:r>
              <w:t>,</w:t>
            </w:r>
            <w:r w:rsidRPr="004A774C">
              <w:t xml:space="preserve"> all rats in the group were dosed with 6PPD. At 12 months of treatment</w:t>
            </w:r>
            <w:r>
              <w:t>,</w:t>
            </w:r>
            <w:r w:rsidRPr="004A774C">
              <w:t xml:space="preserve"> approximately 20 rats/sex/group were sacrificed, and the remaining animals were sacrificed after 24 months.</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20E086F8" w14:textId="77777777" w:rsidR="003841B3" w:rsidRPr="004A774C" w:rsidRDefault="003841B3" w:rsidP="000F7882">
            <w:pPr>
              <w:pStyle w:val="ITRCTableText"/>
            </w:pPr>
            <w:r w:rsidRPr="004A774C">
              <w:t>Sprague-Dawley rat (n=70 per sex)</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60A69CE0" w14:textId="77777777" w:rsidR="003841B3" w:rsidRDefault="003841B3" w:rsidP="000F7882">
            <w:pPr>
              <w:pStyle w:val="ITRCTableText"/>
            </w:pPr>
            <w:r w:rsidRPr="004A774C">
              <w:t>Slightly non-statistically significant increase in thyroid follicular carcinoma was observed in males of the mid</w:t>
            </w:r>
            <w:r>
              <w:t>-</w:t>
            </w:r>
            <w:r w:rsidRPr="004A774C">
              <w:t xml:space="preserve"> and high</w:t>
            </w:r>
            <w:r>
              <w:t>-</w:t>
            </w:r>
            <w:r w:rsidRPr="004A774C">
              <w:t>dose group</w:t>
            </w:r>
            <w:r>
              <w:t>s</w:t>
            </w:r>
            <w:r w:rsidRPr="004A774C">
              <w:t xml:space="preserve"> (250</w:t>
            </w:r>
            <w:r>
              <w:t> ppm</w:t>
            </w:r>
            <w:r w:rsidRPr="004A774C">
              <w:t xml:space="preserve"> and 1</w:t>
            </w:r>
            <w:r>
              <w:t>,</w:t>
            </w:r>
            <w:r w:rsidRPr="004A774C">
              <w:t>500</w:t>
            </w:r>
            <w:r>
              <w:t> ppm</w:t>
            </w:r>
            <w:r w:rsidRPr="004A774C">
              <w:t>). The incidences in males in the mid</w:t>
            </w:r>
            <w:r>
              <w:t>-dose group</w:t>
            </w:r>
            <w:r w:rsidRPr="004A774C">
              <w:t xml:space="preserve"> (2/69; 2.9%) and high</w:t>
            </w:r>
            <w:r>
              <w:t>-</w:t>
            </w:r>
            <w:r w:rsidRPr="004A774C">
              <w:t>dose</w:t>
            </w:r>
            <w:r>
              <w:t xml:space="preserve"> group</w:t>
            </w:r>
            <w:r w:rsidRPr="004A774C">
              <w:t xml:space="preserve"> (3/69; 4.4%) were slightly above the historical control incidences observed in that laboratory (4/501; 0.8%). No increase was observed in females.</w:t>
            </w:r>
          </w:p>
          <w:p w14:paraId="72DD33D5" w14:textId="77777777" w:rsidR="003841B3" w:rsidRDefault="003841B3" w:rsidP="000F7882">
            <w:pPr>
              <w:pStyle w:val="ITRCTableText"/>
            </w:pPr>
            <w:r w:rsidRPr="004A774C">
              <w:t>The mechanism of potential thyroid gland follicular carcinoma was reviewed in literature by the study authors. The findings of the review suggested that the effects on the thyroid gland are most likely to be high</w:t>
            </w:r>
            <w:r>
              <w:t>-</w:t>
            </w:r>
            <w:r w:rsidRPr="004A774C">
              <w:t>dose secondary effects caused by increased liver activity and that these effects are not directly relevant to humans. Therefore, the study authors concluded that it is unlikely that 6PPD possess</w:t>
            </w:r>
            <w:r>
              <w:t>es</w:t>
            </w:r>
            <w:r w:rsidRPr="004A774C">
              <w:t xml:space="preserve"> a carcinogenic risk for humans.</w:t>
            </w:r>
          </w:p>
          <w:p w14:paraId="2B1A7940" w14:textId="77777777" w:rsidR="003841B3" w:rsidRPr="004A774C" w:rsidRDefault="003841B3" w:rsidP="000F7882">
            <w:pPr>
              <w:pStyle w:val="ITRCTableText"/>
            </w:pPr>
            <w:r w:rsidRPr="004A774C">
              <w:rPr>
                <w:b/>
                <w:bCs/>
              </w:rPr>
              <w:t>NOEL:</w:t>
            </w:r>
            <w:r w:rsidRPr="004A774C">
              <w:t xml:space="preserve"> 50</w:t>
            </w:r>
            <w:r>
              <w:t> ppm</w:t>
            </w:r>
            <w:r w:rsidRPr="004A774C">
              <w:t xml:space="preserve"> in males and females (2.6</w:t>
            </w:r>
            <w:r>
              <w:t> mg/kg</w:t>
            </w:r>
            <w:r w:rsidRPr="004A774C">
              <w:t>/day in males, 3.2</w:t>
            </w:r>
            <w:r>
              <w:t> mg/kg</w:t>
            </w:r>
            <w:r w:rsidRPr="004A774C">
              <w:t>/day in females)</w:t>
            </w:r>
            <w:r w:rsidRPr="004A774C">
              <w:br/>
            </w:r>
            <w:r w:rsidRPr="004A774C">
              <w:rPr>
                <w:b/>
                <w:bCs/>
              </w:rPr>
              <w:t>Basis:</w:t>
            </w:r>
            <w:r w:rsidRPr="004A774C">
              <w:t xml:space="preserve"> Reduced body weight in females, increased food consumption in females</w:t>
            </w:r>
            <w:r>
              <w:t>,</w:t>
            </w:r>
            <w:r w:rsidRPr="004A774C">
              <w:t xml:space="preserve"> and increased liver weight at 250</w:t>
            </w:r>
            <w:r>
              <w:t> ppm</w:t>
            </w:r>
            <w:r w:rsidRPr="004A774C">
              <w:t xml:space="preserve"> in both sexes (13.5</w:t>
            </w:r>
            <w:r>
              <w:t>–</w:t>
            </w:r>
            <w:r w:rsidRPr="004A774C">
              <w:t>16.5</w:t>
            </w:r>
            <w:r>
              <w:t> mg/kg</w:t>
            </w:r>
            <w:r w:rsidRPr="004A774C">
              <w:t>/day)</w:t>
            </w:r>
            <w:r>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31AA644B" w14:textId="77777777" w:rsidR="003841B3" w:rsidRPr="004A774C" w:rsidRDefault="00A85D6C" w:rsidP="000F7882">
            <w:pPr>
              <w:pStyle w:val="ITRCTableText"/>
            </w:pPr>
            <w:hyperlink r:id="rId28" w:history="1">
              <w:r w:rsidR="003841B3" w:rsidRPr="009050E9">
                <w:rPr>
                  <w:rStyle w:val="Hyperlink"/>
                </w:rPr>
                <w:t>Anonymous (19</w:t>
              </w:r>
              <w:r w:rsidR="003841B3">
                <w:rPr>
                  <w:rStyle w:val="Hyperlink"/>
                </w:rPr>
                <w:t>93</w:t>
              </w:r>
              <w:r w:rsidR="003841B3" w:rsidRPr="009050E9">
                <w:rPr>
                  <w:rStyle w:val="Hyperlink"/>
                </w:rPr>
                <w:t>)</w:t>
              </w:r>
            </w:hyperlink>
            <w:r w:rsidR="003841B3">
              <w:t xml:space="preserve">, as referenced in </w:t>
            </w:r>
            <w:r w:rsidR="003841B3">
              <w:fldChar w:fldCharType="begin"/>
            </w:r>
            <w:r w:rsidR="003841B3">
              <w:instrText xml:space="preserve"> ADDIN ZOTERO_ITEM CSL_CITATION {"citationID":"SQGvbF2S","properties":{"formattedCitation":"(ECHA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fldChar w:fldCharType="separate"/>
            </w:r>
            <w:r w:rsidR="003841B3" w:rsidRPr="00AC19F9">
              <w:t>(ECHA 2023)</w:t>
            </w:r>
            <w:r w:rsidR="003841B3">
              <w:fldChar w:fldCharType="end"/>
            </w:r>
            <w:r w:rsidR="003841B3">
              <w:t>.</w:t>
            </w:r>
          </w:p>
        </w:tc>
      </w:tr>
      <w:tr w:rsidR="009D312B" w:rsidRPr="004A774C" w14:paraId="35E31FDC"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98CC28E"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5810AD42" w14:textId="77777777" w:rsidR="003841B3" w:rsidRPr="004A774C" w:rsidRDefault="003841B3" w:rsidP="000F7882">
            <w:pPr>
              <w:pStyle w:val="ITRCTableTextCentered"/>
            </w:pPr>
            <w:r w:rsidRPr="004A774C">
              <w:t>Car</w:t>
            </w:r>
            <w:r>
              <w:t>c</w:t>
            </w:r>
            <w:r w:rsidRPr="004A774C">
              <w:t>inogenicity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12D3977E" w14:textId="77777777" w:rsidR="003841B3" w:rsidRPr="004A774C" w:rsidRDefault="003841B3" w:rsidP="000F7882">
            <w:pPr>
              <w:pStyle w:val="ITRCTableText"/>
            </w:pPr>
            <w:r w:rsidRPr="004A774C">
              <w:t xml:space="preserve">A </w:t>
            </w:r>
            <w:r>
              <w:t>two-</w:t>
            </w:r>
            <w:r w:rsidRPr="004A774C">
              <w:t>year chronic feeding study was conducted using male and female CD Outbred Charles River rats exposed to 0,</w:t>
            </w:r>
            <w:r>
              <w:t xml:space="preserve"> </w:t>
            </w:r>
            <w:r w:rsidRPr="004A774C">
              <w:t>100, 300, or 1</w:t>
            </w:r>
            <w:r>
              <w:t>,</w:t>
            </w:r>
            <w:r w:rsidRPr="004A774C">
              <w:t>000</w:t>
            </w:r>
            <w:r>
              <w:t> ppm</w:t>
            </w:r>
            <w:r w:rsidRPr="004A774C">
              <w:t xml:space="preserve"> (approx. 0, 8,</w:t>
            </w:r>
            <w:r>
              <w:t xml:space="preserve"> </w:t>
            </w:r>
            <w:r w:rsidRPr="004A774C">
              <w:t>23, or 75</w:t>
            </w:r>
            <w:r>
              <w:t> mg/kg</w:t>
            </w:r>
            <w:r>
              <w:noBreakHyphen/>
            </w:r>
            <w:proofErr w:type="spellStart"/>
            <w:r>
              <w:t>bw</w:t>
            </w:r>
            <w:proofErr w:type="spellEnd"/>
            <w:r w:rsidRPr="004A774C">
              <w:t>/day) of 6PPD in their diet.</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5A67806F" w14:textId="77777777" w:rsidR="003841B3" w:rsidRPr="004A774C" w:rsidRDefault="003841B3" w:rsidP="000F7882">
            <w:pPr>
              <w:pStyle w:val="ITRCTableText"/>
            </w:pPr>
            <w:r w:rsidRPr="004A774C">
              <w:t>Charles River (CD Outbred) rat (n=50 per sex)</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4FB6FCFD" w14:textId="77777777" w:rsidR="003841B3" w:rsidRDefault="003841B3" w:rsidP="000F7882">
            <w:pPr>
              <w:pStyle w:val="ITRCTableText"/>
            </w:pPr>
            <w:r w:rsidRPr="004A774C">
              <w:t>No treatment-related lesions were identified.</w:t>
            </w:r>
          </w:p>
          <w:p w14:paraId="3A144782" w14:textId="77777777" w:rsidR="003841B3" w:rsidRDefault="003841B3" w:rsidP="000F7882">
            <w:pPr>
              <w:pStyle w:val="ITRCTableText"/>
            </w:pPr>
            <w:r w:rsidRPr="004A774C">
              <w:rPr>
                <w:b/>
                <w:bCs/>
              </w:rPr>
              <w:t>NOAEL (systemic toxicity)</w:t>
            </w:r>
            <w:r w:rsidRPr="004A774C">
              <w:t>: 300</w:t>
            </w:r>
            <w:r>
              <w:t> ppm</w:t>
            </w:r>
            <w:r w:rsidRPr="004A774C">
              <w:t xml:space="preserve"> (23</w:t>
            </w:r>
            <w:r>
              <w:t> mg/kg</w:t>
            </w:r>
            <w:r>
              <w:noBreakHyphen/>
            </w:r>
            <w:proofErr w:type="spellStart"/>
            <w:r>
              <w:t>bw</w:t>
            </w:r>
            <w:proofErr w:type="spellEnd"/>
            <w:r w:rsidRPr="004A774C">
              <w:t>/day) in males and females</w:t>
            </w:r>
            <w:r w:rsidRPr="004A774C">
              <w:br/>
            </w:r>
            <w:r w:rsidRPr="004A774C">
              <w:rPr>
                <w:b/>
                <w:bCs/>
              </w:rPr>
              <w:t>Basis:</w:t>
            </w:r>
            <w:r w:rsidRPr="004A774C">
              <w:t xml:space="preserve"> No adverse effects</w:t>
            </w:r>
            <w:r>
              <w:t>.</w:t>
            </w:r>
          </w:p>
          <w:p w14:paraId="370818A6" w14:textId="77777777" w:rsidR="003841B3" w:rsidRDefault="003841B3" w:rsidP="000F7882">
            <w:pPr>
              <w:pStyle w:val="ITRCTableText"/>
            </w:pPr>
            <w:r w:rsidRPr="004A774C">
              <w:rPr>
                <w:b/>
                <w:bCs/>
              </w:rPr>
              <w:t>LOAEL (systemic toxicity):</w:t>
            </w:r>
            <w:r w:rsidRPr="004A774C">
              <w:t xml:space="preserve"> 1,000</w:t>
            </w:r>
            <w:r>
              <w:t> ppm</w:t>
            </w:r>
            <w:r w:rsidRPr="004A774C">
              <w:t xml:space="preserve"> (75</w:t>
            </w:r>
            <w:r>
              <w:t> mg/kg</w:t>
            </w:r>
            <w:r>
              <w:noBreakHyphen/>
            </w:r>
            <w:proofErr w:type="spellStart"/>
            <w:r>
              <w:t>bw</w:t>
            </w:r>
            <w:proofErr w:type="spellEnd"/>
            <w:r w:rsidRPr="004A774C">
              <w:t>/day) in males and females</w:t>
            </w:r>
            <w:r w:rsidRPr="004A774C">
              <w:br/>
            </w:r>
            <w:r w:rsidRPr="004A774C">
              <w:rPr>
                <w:b/>
                <w:bCs/>
              </w:rPr>
              <w:t>Basis:</w:t>
            </w:r>
            <w:r w:rsidRPr="004A774C">
              <w:t xml:space="preserve"> Reduced body weight</w:t>
            </w:r>
            <w:r>
              <w:t>;</w:t>
            </w:r>
            <w:r w:rsidRPr="004A774C">
              <w:t xml:space="preserve"> </w:t>
            </w:r>
            <w:r>
              <w:t xml:space="preserve">reduced </w:t>
            </w:r>
            <w:r w:rsidRPr="004A774C">
              <w:t xml:space="preserve">body weight gain, reduced erythrocyte counts, </w:t>
            </w:r>
            <w:r>
              <w:t xml:space="preserve">reduced </w:t>
            </w:r>
            <w:r w:rsidRPr="004A774C">
              <w:t>hemoglobin concentrations</w:t>
            </w:r>
            <w:r>
              <w:t>,</w:t>
            </w:r>
            <w:r w:rsidRPr="004A774C">
              <w:t xml:space="preserve"> and </w:t>
            </w:r>
            <w:r>
              <w:t xml:space="preserve">reduced </w:t>
            </w:r>
            <w:r w:rsidRPr="004A774C">
              <w:t>hematocrit values.</w:t>
            </w:r>
          </w:p>
          <w:p w14:paraId="4CA66AA7" w14:textId="77777777" w:rsidR="003841B3" w:rsidRPr="004A774C" w:rsidRDefault="003841B3" w:rsidP="000F7882">
            <w:pPr>
              <w:pStyle w:val="ITRCTableText"/>
            </w:pPr>
            <w:r w:rsidRPr="004A774C">
              <w:rPr>
                <w:b/>
                <w:bCs/>
              </w:rPr>
              <w:t>NOAEL (carcinogenicity):</w:t>
            </w:r>
            <w:r w:rsidRPr="004A774C">
              <w:t xml:space="preserve"> 1</w:t>
            </w:r>
            <w:r>
              <w:t>,</w:t>
            </w:r>
            <w:r w:rsidRPr="004A774C">
              <w:t>000</w:t>
            </w:r>
            <w:r>
              <w:t> ppm</w:t>
            </w:r>
            <w:r w:rsidRPr="004A774C">
              <w:t xml:space="preserve"> (75</w:t>
            </w:r>
            <w:r>
              <w:t> mg/kg</w:t>
            </w:r>
            <w:r>
              <w:noBreakHyphen/>
            </w:r>
            <w:proofErr w:type="spellStart"/>
            <w:r>
              <w:t>bw</w:t>
            </w:r>
            <w:proofErr w:type="spellEnd"/>
            <w:r w:rsidRPr="004A774C">
              <w:t>/day) in males and females</w:t>
            </w:r>
            <w:r w:rsidRPr="004A774C">
              <w:br/>
            </w:r>
            <w:r w:rsidRPr="004A774C">
              <w:rPr>
                <w:b/>
                <w:bCs/>
              </w:rPr>
              <w:t>Basis:</w:t>
            </w:r>
            <w:r w:rsidRPr="004A774C">
              <w:t xml:space="preserve"> Neoplasms found in treated mice compared to control and/or within the historical control range.</w:t>
            </w:r>
          </w:p>
        </w:tc>
        <w:tc>
          <w:tcPr>
            <w:tcW w:w="3240" w:type="dxa"/>
            <w:tcBorders>
              <w:top w:val="nil"/>
              <w:left w:val="nil"/>
              <w:bottom w:val="single" w:sz="4" w:space="0" w:color="auto"/>
              <w:right w:val="single" w:sz="4" w:space="0" w:color="auto"/>
            </w:tcBorders>
            <w:shd w:val="clear" w:color="auto" w:fill="EAF1DD" w:themeFill="accent3" w:themeFillTint="33"/>
            <w:hideMark/>
          </w:tcPr>
          <w:p w14:paraId="2756540C" w14:textId="77777777" w:rsidR="003841B3" w:rsidRPr="004A774C" w:rsidRDefault="003841B3" w:rsidP="000F7882">
            <w:pPr>
              <w:pStyle w:val="ITRCTableText"/>
            </w:pPr>
            <w:r w:rsidRPr="004A774C">
              <w:t xml:space="preserve">Stevens MW, </w:t>
            </w:r>
            <w:proofErr w:type="spellStart"/>
            <w:r w:rsidRPr="004A774C">
              <w:t>Levinskas</w:t>
            </w:r>
            <w:proofErr w:type="spellEnd"/>
            <w:r w:rsidRPr="004A774C">
              <w:t xml:space="preserve"> GJ, Graham PR, 1981. Chronic toxicity and reproduction studies on rubber antiozonants (substituted paraphenylenediamines). Toxicologist 1: 58, </w:t>
            </w:r>
            <w:r>
              <w:t xml:space="preserve">as </w:t>
            </w:r>
            <w:r w:rsidRPr="004A774C">
              <w:t xml:space="preserve">cited </w:t>
            </w:r>
            <w:r>
              <w:t xml:space="preserve">in </w:t>
            </w:r>
            <w:r>
              <w:fldChar w:fldCharType="begin"/>
            </w:r>
            <w:r>
              <w:instrText xml:space="preserve"> ADDIN ZOTERO_ITEM CSL_CITATION {"citationID":"SQGvbF2S","properties":{"formattedCitation":"(ECHA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fldChar w:fldCharType="separate"/>
            </w:r>
            <w:r w:rsidRPr="00AC19F9">
              <w:t>(ECHA 2023)</w:t>
            </w:r>
            <w:r>
              <w:fldChar w:fldCharType="end"/>
            </w:r>
            <w:r w:rsidRPr="004A774C">
              <w:t>.</w:t>
            </w:r>
          </w:p>
        </w:tc>
      </w:tr>
      <w:tr w:rsidR="009D312B" w:rsidRPr="004A774C" w14:paraId="2DA52934"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654A0A0B"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64704101" w14:textId="77777777" w:rsidR="003841B3" w:rsidRPr="004A774C" w:rsidRDefault="003841B3" w:rsidP="000F7882">
            <w:pPr>
              <w:pStyle w:val="ITRCTableTextCentered"/>
            </w:pPr>
            <w:r w:rsidRPr="004A774C">
              <w:t>Carcinogenic</w:t>
            </w:r>
            <w:r>
              <w:t>i</w:t>
            </w:r>
            <w:r w:rsidRPr="004A774C">
              <w:t>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417AAA9D" w14:textId="79E73D85" w:rsidR="003841B3" w:rsidRPr="004A774C" w:rsidRDefault="003841B3" w:rsidP="000F7882">
            <w:pPr>
              <w:pStyle w:val="ITRCTableText"/>
            </w:pPr>
            <w:r w:rsidRPr="004A774C">
              <w:t xml:space="preserve">An in vitro cell transformation assay was conducted using </w:t>
            </w:r>
            <w:r>
              <w:t>BALB</w:t>
            </w:r>
            <w:r w:rsidRPr="004A774C">
              <w:t>/3T3 cells exposed to 0.165, 0.33, 0.495, 0.66, or 0.99</w:t>
            </w:r>
            <w:r>
              <w:t> </w:t>
            </w:r>
            <w:proofErr w:type="spellStart"/>
            <w:r>
              <w:t>μ</w:t>
            </w:r>
            <w:r w:rsidRPr="004A774C">
              <w:t>g</w:t>
            </w:r>
            <w:proofErr w:type="spellEnd"/>
            <w:r w:rsidRPr="004A774C">
              <w:t>/</w:t>
            </w:r>
            <w:r w:rsidR="00192AF8">
              <w:t>mL</w:t>
            </w:r>
            <w:r w:rsidRPr="004A774C">
              <w:t xml:space="preserve"> of 6PPD.</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19F02E6A" w14:textId="77777777" w:rsidR="003841B3" w:rsidRPr="004A774C" w:rsidRDefault="003841B3" w:rsidP="000F7882">
            <w:pPr>
              <w:pStyle w:val="ITRCTableText"/>
            </w:pPr>
            <w:r w:rsidRPr="004A774C">
              <w:t>B</w:t>
            </w:r>
            <w:r>
              <w:t>ALB</w:t>
            </w:r>
            <w:r w:rsidRPr="004A774C">
              <w:t>/3T3 cells</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2E316922" w14:textId="77777777" w:rsidR="003841B3" w:rsidRPr="004A774C" w:rsidRDefault="003841B3" w:rsidP="000F7882">
            <w:pPr>
              <w:pStyle w:val="ITRCTableText"/>
            </w:pPr>
            <w:r w:rsidRPr="004A774C">
              <w:t>There was no sign</w:t>
            </w:r>
            <w:r>
              <w:t>i</w:t>
            </w:r>
            <w:r w:rsidRPr="004A774C">
              <w:t>ficant increase in the number of transformed foci</w:t>
            </w:r>
            <w:r>
              <w:t>;</w:t>
            </w:r>
            <w:r w:rsidRPr="004A774C">
              <w:t xml:space="preserve"> therefore</w:t>
            </w:r>
            <w:r>
              <w:t>,</w:t>
            </w:r>
            <w:r w:rsidRPr="004A774C">
              <w:t xml:space="preserve"> 6PPD was considered negative for carcinogenicity in this assay.</w:t>
            </w:r>
          </w:p>
        </w:tc>
        <w:tc>
          <w:tcPr>
            <w:tcW w:w="3240" w:type="dxa"/>
            <w:tcBorders>
              <w:top w:val="nil"/>
              <w:left w:val="nil"/>
              <w:bottom w:val="single" w:sz="4" w:space="0" w:color="auto"/>
              <w:right w:val="single" w:sz="4" w:space="0" w:color="auto"/>
            </w:tcBorders>
            <w:shd w:val="clear" w:color="auto" w:fill="EAF1DD" w:themeFill="accent3" w:themeFillTint="33"/>
            <w:hideMark/>
          </w:tcPr>
          <w:p w14:paraId="389B01E9" w14:textId="77777777" w:rsidR="003841B3" w:rsidRPr="004A774C" w:rsidRDefault="003841B3" w:rsidP="000F7882">
            <w:pPr>
              <w:pStyle w:val="ITRCTableText"/>
            </w:pPr>
            <w:r>
              <w:t xml:space="preserve">Litton </w:t>
            </w:r>
            <w:proofErr w:type="spellStart"/>
            <w:r>
              <w:t>Bionetics</w:t>
            </w:r>
            <w:proofErr w:type="spellEnd"/>
            <w:r>
              <w:t xml:space="preserve"> (1982) Evaluation of 8048-69-5 WTR No. 2 6PPD in the in vitro transformation of BALB/3T3 cells assay, final report. Litton </w:t>
            </w:r>
            <w:proofErr w:type="spellStart"/>
            <w:r>
              <w:t>Bionetics</w:t>
            </w:r>
            <w:proofErr w:type="spellEnd"/>
            <w:r>
              <w:t xml:space="preserve"> Inc. Project No.: 20992, unpublished study of Goodyear Tire &amp; Rubber Co.</w:t>
            </w:r>
            <w:r w:rsidRPr="004A774C">
              <w:t xml:space="preserve">, </w:t>
            </w:r>
            <w:r>
              <w:t xml:space="preserve">as </w:t>
            </w:r>
            <w:r w:rsidRPr="004A774C">
              <w:t xml:space="preserve">cited in </w:t>
            </w:r>
            <w:r>
              <w:fldChar w:fldCharType="begin"/>
            </w:r>
            <w:r>
              <w:instrText xml:space="preserve"> ADDIN ZOTERO_ITEM CSL_CITATION {"citationID":"Llujqe92","properties":{"formattedCitation":"(OECD 2004)","plainCitation":"(OECD 2004)","noteIndex":0},"citationItems":[{"id":1078,"uris":["http://zotero.org/groups/4911552/items/FCJPCPVW"],"itemData":{"id":1078,"type":"report","title":"SIDS Initial Assessment Report for N-(1,3-Dimethylbutyl)-N´-phenyl-1,4-phenylenediamine (6PPD), Organisation for Economic Co-operation and Development (OECD)","URL":"https://hpvchemicals.oecd.org/UI/handler.axd?id=5e1a446c-5969-479c-9270-7ced8726952e","author":[{"family":"OECD","given":""}],"issued":{"date-parts":[["2004"]]}}}],"schema":"https://github.com/citation-style-language/schema/raw/master/csl-citation.json"} </w:instrText>
            </w:r>
            <w:r>
              <w:fldChar w:fldCharType="separate"/>
            </w:r>
            <w:r w:rsidRPr="00D2599F">
              <w:t>(OECD 2004)</w:t>
            </w:r>
            <w:r>
              <w:fldChar w:fldCharType="end"/>
            </w:r>
            <w:r>
              <w:t>.</w:t>
            </w:r>
          </w:p>
        </w:tc>
      </w:tr>
      <w:tr w:rsidR="009D312B" w:rsidRPr="004A774C" w14:paraId="303C1038"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42A7666" w14:textId="77777777" w:rsidR="003841B3" w:rsidRPr="004A774C" w:rsidRDefault="003841B3" w:rsidP="000F7882">
            <w:pPr>
              <w:pStyle w:val="ITRCTableTextCentered"/>
            </w:pPr>
            <w:r w:rsidRPr="004A774C">
              <w:lastRenderedPageBreak/>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5C0CFDF8" w14:textId="77777777" w:rsidR="003841B3" w:rsidRPr="004A774C" w:rsidRDefault="003841B3" w:rsidP="000F7882">
            <w:pPr>
              <w:pStyle w:val="ITRCTableTextCentered"/>
            </w:pPr>
            <w:r w:rsidRPr="004A774C">
              <w:t xml:space="preserve">Reproductive </w:t>
            </w:r>
            <w:r>
              <w:t>t</w:t>
            </w:r>
            <w:r w:rsidRPr="004A774C">
              <w: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797807E7" w14:textId="77777777" w:rsidR="003841B3" w:rsidRPr="004A774C" w:rsidRDefault="003841B3" w:rsidP="000F7882">
            <w:pPr>
              <w:pStyle w:val="ITRCTableText"/>
            </w:pPr>
            <w:r w:rsidRPr="004A774C">
              <w:t>An OECD Guideline 443 (extended one-generation reproductive toxicity) study was conduc</w:t>
            </w:r>
            <w:r>
              <w:t>t</w:t>
            </w:r>
            <w:r w:rsidRPr="004A774C">
              <w:t xml:space="preserve">ed using male and female Sprague-Dawley rats exposed to 7, 20, </w:t>
            </w:r>
            <w:r>
              <w:t xml:space="preserve">or </w:t>
            </w:r>
            <w:r w:rsidRPr="004A774C">
              <w:t>60</w:t>
            </w:r>
            <w:r>
              <w:t> mg/kg</w:t>
            </w:r>
            <w:r>
              <w:noBreakHyphen/>
            </w:r>
            <w:proofErr w:type="spellStart"/>
            <w:r>
              <w:t>bw</w:t>
            </w:r>
            <w:proofErr w:type="spellEnd"/>
            <w:r w:rsidRPr="004A774C">
              <w:t>/day of 6PPD via oral gavage (corn oil as vehicle). F0 males were dosed orally by gavage for 70 consecutive days prior to mating and continuing through the day prior to euthanasia (for a minimum of 10 weeks). F0 females were dosed orally by gavage for 70 consecutive days prior to mating and continuing throughout mating, gestation, and lactation, through the day prior to euthanasia (following completion of weaning for all F1 litters). The offspring selected for the F1 generation began dosing on the day of weaning until the day prior to euthanasia. All animals were dosed at approximately the same time each day.</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0CD42FF1" w14:textId="77777777" w:rsidR="003841B3" w:rsidRPr="004A774C" w:rsidRDefault="003841B3" w:rsidP="000F7882">
            <w:pPr>
              <w:pStyle w:val="ITRCTableText"/>
            </w:pPr>
            <w:r w:rsidRPr="004A774C">
              <w:t>Sprague-Dawley rat</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433FF051" w14:textId="77777777" w:rsidR="003841B3" w:rsidRDefault="003841B3" w:rsidP="000F7882">
            <w:pPr>
              <w:pStyle w:val="ITRCTableText"/>
            </w:pPr>
            <w:r w:rsidRPr="004A774C">
              <w:t>No adverse systemic effects were observed in F0 (parental) males and females at dosages up to 60</w:t>
            </w:r>
            <w:r>
              <w:t> mg/kg</w:t>
            </w:r>
            <w:r w:rsidRPr="004A774C">
              <w:t xml:space="preserve">/day (the highest dosage tested). The key effect for reproductive toxicity is dystocia, which was found in </w:t>
            </w:r>
            <w:r>
              <w:t>two</w:t>
            </w:r>
            <w:r w:rsidRPr="004A774C">
              <w:t xml:space="preserve"> females in the 20</w:t>
            </w:r>
            <w:r>
              <w:t> mg/kg</w:t>
            </w:r>
            <w:r w:rsidRPr="004A774C">
              <w:t xml:space="preserve">/day group and in </w:t>
            </w:r>
            <w:r>
              <w:t>five</w:t>
            </w:r>
            <w:r w:rsidRPr="004A774C">
              <w:t xml:space="preserve"> females in the 60</w:t>
            </w:r>
            <w:r>
              <w:t> mg/kg</w:t>
            </w:r>
            <w:r w:rsidRPr="004A774C">
              <w:t>/day group. No male reproductive effects were observed. No test substance-related effects</w:t>
            </w:r>
            <w:r>
              <w:t xml:space="preserve"> were found</w:t>
            </w:r>
            <w:r w:rsidRPr="004A774C">
              <w:t xml:space="preserve"> on F1 survival at any dosage level. After weaning, lower body weights and lower body weight gain than controls </w:t>
            </w:r>
            <w:proofErr w:type="gramStart"/>
            <w:r w:rsidRPr="004A774C">
              <w:t>was</w:t>
            </w:r>
            <w:proofErr w:type="gramEnd"/>
            <w:r w:rsidRPr="004A774C">
              <w:t xml:space="preserve"> observed in the pups.</w:t>
            </w:r>
            <w:r w:rsidRPr="004A774C">
              <w:br w:type="page"/>
            </w:r>
            <w:r w:rsidRPr="004A774C">
              <w:br w:type="page"/>
            </w:r>
          </w:p>
          <w:p w14:paraId="06F31D02" w14:textId="77777777" w:rsidR="003841B3" w:rsidRDefault="003841B3" w:rsidP="000F7882">
            <w:pPr>
              <w:pStyle w:val="ITRCTableText"/>
            </w:pPr>
            <w:r w:rsidRPr="004A774C">
              <w:rPr>
                <w:b/>
                <w:bCs/>
              </w:rPr>
              <w:t>NOAEL (systemic):</w:t>
            </w:r>
            <w:r w:rsidRPr="004A774C">
              <w:t xml:space="preserve"> 60</w:t>
            </w:r>
            <w:r>
              <w:t> mg/kg</w:t>
            </w:r>
            <w:r w:rsidRPr="004A774C">
              <w:t>/day for females and males.</w:t>
            </w:r>
            <w:r w:rsidRPr="004A774C">
              <w:br w:type="page"/>
            </w:r>
            <w:r>
              <w:br/>
            </w:r>
            <w:r w:rsidRPr="004A774C">
              <w:rPr>
                <w:b/>
                <w:bCs/>
              </w:rPr>
              <w:t>Basis:</w:t>
            </w:r>
            <w:r w:rsidRPr="004A774C">
              <w:t xml:space="preserve"> </w:t>
            </w:r>
            <w:r>
              <w:t>M</w:t>
            </w:r>
            <w:r w:rsidRPr="004A774C">
              <w:t>ortality</w:t>
            </w:r>
            <w:r w:rsidRPr="004A774C">
              <w:br w:type="page"/>
            </w:r>
            <w:r w:rsidRPr="004A774C">
              <w:br w:type="page"/>
            </w:r>
            <w:r>
              <w:t>.</w:t>
            </w:r>
          </w:p>
          <w:p w14:paraId="37AC9771" w14:textId="77777777" w:rsidR="003841B3" w:rsidRDefault="003841B3" w:rsidP="000F7882">
            <w:pPr>
              <w:pStyle w:val="ITRCTableText"/>
            </w:pPr>
            <w:r w:rsidRPr="004A774C">
              <w:rPr>
                <w:b/>
                <w:bCs/>
              </w:rPr>
              <w:t>NOAEL (reproductive)</w:t>
            </w:r>
            <w:r w:rsidRPr="004A774C">
              <w:t>: 7</w:t>
            </w:r>
            <w:r>
              <w:t> mg/kg</w:t>
            </w:r>
            <w:r w:rsidRPr="004A774C">
              <w:t>/day for females and 60</w:t>
            </w:r>
            <w:r>
              <w:t> mg/kg</w:t>
            </w:r>
            <w:r w:rsidRPr="004A774C">
              <w:t>/day for males</w:t>
            </w:r>
            <w:r w:rsidRPr="004A774C">
              <w:br w:type="page"/>
            </w:r>
            <w:r>
              <w:br/>
            </w:r>
            <w:r w:rsidRPr="004A774C">
              <w:rPr>
                <w:b/>
                <w:bCs/>
              </w:rPr>
              <w:t>Basis:</w:t>
            </w:r>
            <w:r w:rsidRPr="004A774C">
              <w:t xml:space="preserve"> </w:t>
            </w:r>
            <w:r>
              <w:t>R</w:t>
            </w:r>
            <w:r w:rsidRPr="004A774C">
              <w:t>eproductive performance and dystocia for females; reproductive function (sperm measures) and reproductive performance for males</w:t>
            </w:r>
            <w:r w:rsidRPr="004A774C">
              <w:br w:type="page"/>
            </w:r>
            <w:r w:rsidRPr="004A774C">
              <w:br w:type="page"/>
            </w:r>
            <w:r>
              <w:t>.</w:t>
            </w:r>
          </w:p>
          <w:p w14:paraId="733A88FD" w14:textId="77777777" w:rsidR="003841B3" w:rsidRPr="004A774C" w:rsidRDefault="003841B3" w:rsidP="000F7882">
            <w:pPr>
              <w:pStyle w:val="ITRCTableText"/>
            </w:pPr>
            <w:r w:rsidRPr="004A774C">
              <w:rPr>
                <w:b/>
                <w:bCs/>
              </w:rPr>
              <w:t>NOAEL:</w:t>
            </w:r>
            <w:r w:rsidRPr="004A774C">
              <w:t xml:space="preserve"> 20</w:t>
            </w:r>
            <w:r>
              <w:t> mg/kg</w:t>
            </w:r>
            <w:r w:rsidRPr="004A774C">
              <w:t>/day for neonatal toxicity</w:t>
            </w:r>
            <w:r w:rsidRPr="004A774C">
              <w:br w:type="page"/>
            </w:r>
            <w:r>
              <w:br/>
            </w:r>
            <w:r w:rsidRPr="004A774C">
              <w:rPr>
                <w:b/>
                <w:bCs/>
              </w:rPr>
              <w:t xml:space="preserve">Basis: </w:t>
            </w:r>
            <w:r>
              <w:t>P</w:t>
            </w:r>
            <w:r w:rsidRPr="004A774C">
              <w:t>up survival, body weight</w:t>
            </w:r>
            <w:r>
              <w:t>,</w:t>
            </w:r>
            <w:r w:rsidRPr="004A774C">
              <w:t xml:space="preserve"> and weight gain</w:t>
            </w:r>
            <w:r w:rsidRPr="004A774C">
              <w:br w:type="page"/>
            </w:r>
            <w:r>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27A641EE" w14:textId="77777777" w:rsidR="003841B3" w:rsidRPr="004A774C" w:rsidRDefault="00A85D6C" w:rsidP="000F7882">
            <w:pPr>
              <w:spacing w:after="0"/>
            </w:pPr>
            <w:hyperlink r:id="rId29" w:history="1">
              <w:r w:rsidR="003841B3" w:rsidRPr="007F7A0F">
                <w:rPr>
                  <w:rStyle w:val="Hyperlink"/>
                  <w:rFonts w:ascii="TimesNewRomanPSMT" w:hAnsi="TimesNewRomanPSMT"/>
                  <w:sz w:val="20"/>
                </w:rPr>
                <w:t>Anonymous (2019)</w:t>
              </w:r>
            </w:hyperlink>
            <w:r w:rsidR="003841B3">
              <w:t>,</w:t>
            </w:r>
            <w:r w:rsidR="003841B3" w:rsidRPr="0032245B">
              <w:rPr>
                <w:sz w:val="20"/>
              </w:rPr>
              <w:t xml:space="preserve"> as cited in </w:t>
            </w:r>
            <w:r w:rsidR="003841B3" w:rsidRPr="0032245B">
              <w:rPr>
                <w:sz w:val="20"/>
              </w:rPr>
              <w:fldChar w:fldCharType="begin"/>
            </w:r>
            <w:r w:rsidR="003841B3" w:rsidRPr="0032245B">
              <w:rPr>
                <w:sz w:val="20"/>
              </w:rPr>
              <w:instrText xml:space="preserve"> ADDIN ZOTERO_ITEM CSL_CITATION {"citationID":"SQGvbF2S","properties":{"formattedCitation":"(ECHA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rsidRPr="0032245B">
              <w:rPr>
                <w:sz w:val="20"/>
              </w:rPr>
              <w:fldChar w:fldCharType="separate"/>
            </w:r>
            <w:r w:rsidR="003841B3" w:rsidRPr="0032245B">
              <w:rPr>
                <w:sz w:val="20"/>
              </w:rPr>
              <w:t>(ECHA 2023)</w:t>
            </w:r>
            <w:r w:rsidR="003841B3" w:rsidRPr="0032245B">
              <w:rPr>
                <w:sz w:val="20"/>
              </w:rPr>
              <w:fldChar w:fldCharType="end"/>
            </w:r>
            <w:r w:rsidR="003841B3" w:rsidRPr="0032245B">
              <w:rPr>
                <w:sz w:val="20"/>
              </w:rPr>
              <w:t>.</w:t>
            </w:r>
          </w:p>
        </w:tc>
      </w:tr>
      <w:tr w:rsidR="009D312B" w:rsidRPr="004A774C" w14:paraId="1FE8A4E4"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0B46F622"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3C5D3C43" w14:textId="77777777" w:rsidR="003841B3" w:rsidRPr="004A774C" w:rsidRDefault="003841B3" w:rsidP="000F7882">
            <w:pPr>
              <w:pStyle w:val="ITRCTableTextCentered"/>
            </w:pPr>
            <w:r w:rsidRPr="004A774C">
              <w:t xml:space="preserve">Developmental </w:t>
            </w:r>
            <w:r>
              <w:t>t</w:t>
            </w:r>
            <w:r w:rsidRPr="004A774C">
              <w: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5FDD9BDF" w14:textId="77777777" w:rsidR="003841B3" w:rsidRPr="004A774C" w:rsidRDefault="003841B3" w:rsidP="000F7882">
            <w:pPr>
              <w:pStyle w:val="ITRCTableText"/>
            </w:pPr>
            <w:r w:rsidRPr="004A774C">
              <w:t>6PPD was administered orally by gavage to three groups of bred Sprague-Dawley female rats. The rats were treated once daily from gestation day 6 through 15. Dose levels of 50, 100 and 250</w:t>
            </w:r>
            <w:r>
              <w:t> mg/kg</w:t>
            </w:r>
            <w:r>
              <w:noBreakHyphen/>
            </w:r>
            <w:proofErr w:type="spellStart"/>
            <w:r>
              <w:t>bw</w:t>
            </w:r>
            <w:proofErr w:type="spellEnd"/>
            <w:r w:rsidRPr="004A774C">
              <w:t>/day were selected. The control group was composed of 25 bred females dosed with corn oil, the vehicle control material.</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53B1A96E" w14:textId="77777777" w:rsidR="003841B3" w:rsidRPr="004A774C" w:rsidRDefault="003841B3" w:rsidP="000F7882">
            <w:pPr>
              <w:pStyle w:val="ITRCTableText"/>
            </w:pPr>
            <w:r w:rsidRPr="004A774C">
              <w:t>Sprague-Dawley rat (n=25)</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61BDBE9F" w14:textId="77777777" w:rsidR="003841B3" w:rsidRDefault="003841B3" w:rsidP="000F7882">
            <w:pPr>
              <w:pStyle w:val="ITRCTableText"/>
            </w:pPr>
            <w:r w:rsidRPr="004A774C">
              <w:t>6PPD administered to pregnant rats during the period of major organogenesis, was neither teratogenic nor embryo/fetotoxic at any treatment level. An increase in clinical signs in dams occurred at dose levels of 100 and 250</w:t>
            </w:r>
            <w:r>
              <w:t> mg/kg</w:t>
            </w:r>
            <w:r w:rsidRPr="004A774C">
              <w:t>/day in a dose-dependent manner. Clinical signs seen in mid to high doses were salivation prior to dosing, soft stool, diarrhea, decreased defecation</w:t>
            </w:r>
            <w:r>
              <w:t>,</w:t>
            </w:r>
            <w:r w:rsidRPr="004A774C">
              <w:t xml:space="preserve"> and green fecal discoloration.</w:t>
            </w:r>
          </w:p>
          <w:p w14:paraId="4746B58C" w14:textId="77777777" w:rsidR="003841B3" w:rsidRDefault="003841B3" w:rsidP="000F7882">
            <w:pPr>
              <w:pStyle w:val="ITRCTableText"/>
            </w:pPr>
            <w:r w:rsidRPr="004A774C">
              <w:rPr>
                <w:b/>
                <w:bCs/>
              </w:rPr>
              <w:t xml:space="preserve">NOAEL (maternal toxicity): </w:t>
            </w:r>
            <w:r w:rsidRPr="004A774C">
              <w:t>50</w:t>
            </w:r>
            <w:r>
              <w:t> mg/kg</w:t>
            </w:r>
            <w:r>
              <w:noBreakHyphen/>
            </w:r>
            <w:proofErr w:type="spellStart"/>
            <w:r>
              <w:t>bw</w:t>
            </w:r>
            <w:proofErr w:type="spellEnd"/>
            <w:r w:rsidRPr="004A774C">
              <w:t>/day</w:t>
            </w:r>
            <w:r w:rsidRPr="004A774C">
              <w:br/>
            </w:r>
            <w:r w:rsidRPr="004A774C">
              <w:rPr>
                <w:b/>
                <w:bCs/>
              </w:rPr>
              <w:t>Basis:</w:t>
            </w:r>
            <w:r w:rsidRPr="004A774C">
              <w:t xml:space="preserve"> </w:t>
            </w:r>
            <w:r>
              <w:t>N</w:t>
            </w:r>
            <w:r w:rsidRPr="004A774C">
              <w:t>o adverse effects</w:t>
            </w:r>
            <w:r>
              <w:t>.</w:t>
            </w:r>
          </w:p>
          <w:p w14:paraId="7EAFA940" w14:textId="77777777" w:rsidR="003841B3" w:rsidRDefault="003841B3" w:rsidP="000F7882">
            <w:pPr>
              <w:pStyle w:val="ITRCTableText"/>
            </w:pPr>
            <w:r w:rsidRPr="004A774C">
              <w:rPr>
                <w:b/>
                <w:bCs/>
              </w:rPr>
              <w:t>LOAEL (maternal toxicity):</w:t>
            </w:r>
            <w:r w:rsidRPr="004A774C">
              <w:t xml:space="preserve"> 100</w:t>
            </w:r>
            <w:r>
              <w:t> mg/kg</w:t>
            </w:r>
            <w:r>
              <w:noBreakHyphen/>
            </w:r>
            <w:proofErr w:type="spellStart"/>
            <w:r>
              <w:t>bw</w:t>
            </w:r>
            <w:proofErr w:type="spellEnd"/>
            <w:r w:rsidRPr="004A774C">
              <w:t>/day</w:t>
            </w:r>
            <w:r w:rsidRPr="004A774C">
              <w:br/>
            </w:r>
            <w:r w:rsidRPr="004A774C">
              <w:rPr>
                <w:b/>
                <w:bCs/>
              </w:rPr>
              <w:t>Basis:</w:t>
            </w:r>
            <w:r w:rsidRPr="004A774C">
              <w:t xml:space="preserve"> </w:t>
            </w:r>
            <w:r>
              <w:t>C</w:t>
            </w:r>
            <w:r w:rsidRPr="004A774C">
              <w:t>linical signs</w:t>
            </w:r>
            <w:r>
              <w:t>.</w:t>
            </w:r>
          </w:p>
          <w:p w14:paraId="33FD03F2" w14:textId="77777777" w:rsidR="003841B3" w:rsidRPr="004A774C" w:rsidRDefault="003841B3" w:rsidP="000F7882">
            <w:pPr>
              <w:pStyle w:val="ITRCTableText"/>
            </w:pPr>
            <w:r w:rsidRPr="004A774C">
              <w:rPr>
                <w:b/>
                <w:bCs/>
              </w:rPr>
              <w:t>NOAEL (teratogen</w:t>
            </w:r>
            <w:r>
              <w:rPr>
                <w:b/>
                <w:bCs/>
              </w:rPr>
              <w:t>i</w:t>
            </w:r>
            <w:r w:rsidRPr="004A774C">
              <w:rPr>
                <w:b/>
                <w:bCs/>
              </w:rPr>
              <w:t>city):</w:t>
            </w:r>
            <w:r w:rsidRPr="004A774C">
              <w:t xml:space="preserve"> 250</w:t>
            </w:r>
            <w:r>
              <w:t> mg/kg</w:t>
            </w:r>
            <w:r>
              <w:noBreakHyphen/>
            </w:r>
            <w:proofErr w:type="spellStart"/>
            <w:r>
              <w:t>bw</w:t>
            </w:r>
            <w:proofErr w:type="spellEnd"/>
            <w:r w:rsidRPr="004A774C">
              <w:t>/day</w:t>
            </w:r>
            <w:r w:rsidRPr="004A774C">
              <w:br/>
            </w:r>
            <w:r w:rsidRPr="004A774C">
              <w:rPr>
                <w:b/>
                <w:bCs/>
              </w:rPr>
              <w:t xml:space="preserve">Basis: </w:t>
            </w:r>
            <w:r>
              <w:t>N</w:t>
            </w:r>
            <w:r w:rsidRPr="004A774C">
              <w:t>o adverse effects at highest dose tested</w:t>
            </w:r>
            <w:r>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0C8D32F5" w14:textId="77777777" w:rsidR="003841B3" w:rsidRPr="004A774C" w:rsidRDefault="00A85D6C" w:rsidP="000F7882">
            <w:pPr>
              <w:pStyle w:val="ITRCTableText"/>
            </w:pPr>
            <w:hyperlink r:id="rId30" w:history="1">
              <w:r w:rsidR="003841B3" w:rsidRPr="00CC50DF">
                <w:rPr>
                  <w:rStyle w:val="Hyperlink"/>
                </w:rPr>
                <w:t>Monsanto Chemical Co. (1987)</w:t>
              </w:r>
            </w:hyperlink>
            <w:r w:rsidR="003841B3" w:rsidRPr="001314E5">
              <w:t xml:space="preserve"> </w:t>
            </w:r>
            <w:r w:rsidR="003841B3" w:rsidRPr="001902F8">
              <w:t xml:space="preserve">A teratology study in rats with </w:t>
            </w:r>
            <w:proofErr w:type="spellStart"/>
            <w:r w:rsidR="003841B3" w:rsidRPr="001902F8">
              <w:t>Santoflex</w:t>
            </w:r>
            <w:proofErr w:type="spellEnd"/>
            <w:r w:rsidR="003841B3" w:rsidRPr="001902F8">
              <w:t xml:space="preserve"> 13</w:t>
            </w:r>
            <w:r w:rsidR="003841B3" w:rsidRPr="004A774C">
              <w:t xml:space="preserve">, </w:t>
            </w:r>
            <w:r w:rsidR="003841B3" w:rsidRPr="0032245B">
              <w:t xml:space="preserve">as cited in </w:t>
            </w:r>
            <w:r w:rsidR="003841B3" w:rsidRPr="0032245B">
              <w:fldChar w:fldCharType="begin"/>
            </w:r>
            <w:r w:rsidR="003841B3" w:rsidRPr="0032245B">
              <w:instrText xml:space="preserve"> ADDIN ZOTERO_ITEM CSL_CITATION {"citationID":"SQGvbF2S","properties":{"formattedCitation":"(ECHA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rsidRPr="0032245B">
              <w:fldChar w:fldCharType="separate"/>
            </w:r>
            <w:r w:rsidR="003841B3" w:rsidRPr="0032245B">
              <w:t>(ECHA 2023)</w:t>
            </w:r>
            <w:r w:rsidR="003841B3" w:rsidRPr="0032245B">
              <w:fldChar w:fldCharType="end"/>
            </w:r>
            <w:r w:rsidR="003841B3" w:rsidRPr="004A774C">
              <w:t>.</w:t>
            </w:r>
          </w:p>
        </w:tc>
      </w:tr>
      <w:tr w:rsidR="009D312B" w:rsidRPr="004A774C" w14:paraId="2868C8DA"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3B0A8809" w14:textId="77777777" w:rsidR="003841B3" w:rsidRPr="004A774C" w:rsidRDefault="003841B3" w:rsidP="000F7882">
            <w:pPr>
              <w:pStyle w:val="ITRCTableTextCentered"/>
            </w:pPr>
            <w:r w:rsidRPr="004A774C">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1E118681" w14:textId="77777777" w:rsidR="003841B3" w:rsidRPr="004A774C" w:rsidRDefault="003841B3" w:rsidP="000F7882">
            <w:pPr>
              <w:pStyle w:val="ITRCTableTextCentered"/>
            </w:pPr>
            <w:r w:rsidRPr="004A774C">
              <w:t xml:space="preserve">Developmental </w:t>
            </w:r>
            <w:r>
              <w:t>t</w:t>
            </w:r>
            <w:r w:rsidRPr="004A774C">
              <w: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2161D669" w14:textId="77777777" w:rsidR="003841B3" w:rsidRPr="004A774C" w:rsidRDefault="003841B3" w:rsidP="000F7882">
            <w:pPr>
              <w:pStyle w:val="ITRCTableText"/>
            </w:pPr>
            <w:r w:rsidRPr="004A774C">
              <w:t>An OECD Guideline 414 (Prenatal Developmental Toxicity) study was conducted using New Zealand White rabbits exposed to 0, 25, 50, or 100</w:t>
            </w:r>
            <w:r>
              <w:t> mg/kg</w:t>
            </w:r>
            <w:r>
              <w:noBreakHyphen/>
            </w:r>
            <w:proofErr w:type="spellStart"/>
            <w:r>
              <w:t>bw</w:t>
            </w:r>
            <w:proofErr w:type="spellEnd"/>
            <w:r w:rsidRPr="004A774C">
              <w:t xml:space="preserve">/day of 6PPD (vehicle 1% </w:t>
            </w:r>
            <w:r>
              <w:t>m</w:t>
            </w:r>
            <w:r w:rsidRPr="004A774C">
              <w:t>ethylcellulose in deionized water) via oral gavage for 28 days (gestation day 7</w:t>
            </w:r>
            <w:r>
              <w:t>–</w:t>
            </w:r>
            <w:r w:rsidRPr="004A774C">
              <w:t>28 inclusively).</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416B41ED" w14:textId="77777777" w:rsidR="003841B3" w:rsidRPr="004A774C" w:rsidRDefault="003841B3" w:rsidP="000F7882">
            <w:pPr>
              <w:pStyle w:val="ITRCTableText"/>
            </w:pPr>
            <w:r w:rsidRPr="004A774C">
              <w:t>New Zealand White rabbit</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4ACCFB63" w14:textId="77777777" w:rsidR="003841B3" w:rsidRDefault="003841B3" w:rsidP="000F7882">
            <w:pPr>
              <w:pStyle w:val="ITRCTableText"/>
            </w:pPr>
            <w:r w:rsidRPr="004A774C">
              <w:t>Test substance</w:t>
            </w:r>
            <w:r w:rsidRPr="007212A1">
              <w:t>–</w:t>
            </w:r>
            <w:r w:rsidRPr="004A774C">
              <w:t>related abortions were observed at the highest</w:t>
            </w:r>
            <w:r>
              <w:t>-</w:t>
            </w:r>
            <w:r w:rsidRPr="004A774C">
              <w:t>dose test (100</w:t>
            </w:r>
            <w:r>
              <w:t> mg/kg</w:t>
            </w:r>
            <w:r>
              <w:noBreakHyphen/>
            </w:r>
            <w:proofErr w:type="spellStart"/>
            <w:r>
              <w:t>bw</w:t>
            </w:r>
            <w:proofErr w:type="spellEnd"/>
            <w:r w:rsidRPr="004A774C">
              <w:t xml:space="preserve">/day). Clinical observations included a thin body, decreased defecation, and/or brown material on various body surfaces. </w:t>
            </w:r>
            <w:r w:rsidRPr="004A774C">
              <w:br/>
              <w:t>Mean body weight losses, lower mean body weight gains, and lower food consumption were noted at 50</w:t>
            </w:r>
            <w:r>
              <w:t> mg/kg</w:t>
            </w:r>
            <w:r w:rsidRPr="004A774C">
              <w:t>/day. In addition, higher maternal liver weights were noted at 50 and 100</w:t>
            </w:r>
            <w:r>
              <w:t> mg/kg</w:t>
            </w:r>
            <w:r w:rsidRPr="004A774C">
              <w:t>/day. Test substance</w:t>
            </w:r>
            <w:r w:rsidRPr="00592FAE">
              <w:t>–</w:t>
            </w:r>
            <w:r w:rsidRPr="004A774C">
              <w:t>related lower mean fetal body weights (male, female, and combined) were noted in the 50 (39.3</w:t>
            </w:r>
            <w:r>
              <w:t> </w:t>
            </w:r>
            <w:r w:rsidRPr="004A774C">
              <w:t>g, 38.6</w:t>
            </w:r>
            <w:r>
              <w:t> </w:t>
            </w:r>
            <w:r w:rsidRPr="004A774C">
              <w:t>g, and 39.0</w:t>
            </w:r>
            <w:r>
              <w:t> </w:t>
            </w:r>
            <w:r w:rsidRPr="004A774C">
              <w:t>g, respectively) and 100 (33.9</w:t>
            </w:r>
            <w:r>
              <w:t> </w:t>
            </w:r>
            <w:r w:rsidRPr="004A774C">
              <w:t>g, 34.6</w:t>
            </w:r>
            <w:r>
              <w:t> </w:t>
            </w:r>
            <w:r w:rsidRPr="004A774C">
              <w:t>g, and 35.0</w:t>
            </w:r>
            <w:r>
              <w:t> </w:t>
            </w:r>
            <w:r w:rsidRPr="004A774C">
              <w:t>g, respectively)</w:t>
            </w:r>
            <w:r>
              <w:t> mg/kg</w:t>
            </w:r>
            <w:r w:rsidRPr="004A774C">
              <w:t>/day groups when compared to the control groups.</w:t>
            </w:r>
          </w:p>
          <w:p w14:paraId="34D4DA16" w14:textId="77777777" w:rsidR="003841B3" w:rsidRDefault="003841B3" w:rsidP="000F7882">
            <w:pPr>
              <w:pStyle w:val="ITRCTableText"/>
            </w:pPr>
            <w:r w:rsidRPr="004A774C">
              <w:rPr>
                <w:b/>
                <w:bCs/>
              </w:rPr>
              <w:t>NOAEL (maternal):</w:t>
            </w:r>
            <w:r w:rsidRPr="004A774C">
              <w:t xml:space="preserve"> 25</w:t>
            </w:r>
            <w:r>
              <w:t> mg/kg</w:t>
            </w:r>
            <w:r>
              <w:noBreakHyphen/>
            </w:r>
            <w:proofErr w:type="spellStart"/>
            <w:r>
              <w:t>bw</w:t>
            </w:r>
            <w:proofErr w:type="spellEnd"/>
            <w:r w:rsidRPr="004A774C">
              <w:t>/day</w:t>
            </w:r>
            <w:r w:rsidRPr="004A774C">
              <w:br/>
            </w:r>
            <w:r w:rsidRPr="004A774C">
              <w:rPr>
                <w:b/>
                <w:bCs/>
              </w:rPr>
              <w:t>Basis:</w:t>
            </w:r>
            <w:r w:rsidRPr="004A774C">
              <w:t xml:space="preserve"> </w:t>
            </w:r>
            <w:r>
              <w:t>B</w:t>
            </w:r>
            <w:r w:rsidRPr="004A774C">
              <w:t>ody weight and weight gain</w:t>
            </w:r>
            <w:r>
              <w:t>.</w:t>
            </w:r>
          </w:p>
          <w:p w14:paraId="64BF3EA7" w14:textId="77777777" w:rsidR="003841B3" w:rsidRPr="004A774C" w:rsidRDefault="003841B3" w:rsidP="000F7882">
            <w:pPr>
              <w:pStyle w:val="ITRCTableText"/>
            </w:pPr>
            <w:r w:rsidRPr="004A774C">
              <w:rPr>
                <w:b/>
                <w:bCs/>
              </w:rPr>
              <w:t>NOAEL (developmental)</w:t>
            </w:r>
            <w:r w:rsidRPr="004A774C">
              <w:t>: 25</w:t>
            </w:r>
            <w:r>
              <w:t> mg/kg</w:t>
            </w:r>
            <w:r>
              <w:noBreakHyphen/>
            </w:r>
            <w:proofErr w:type="spellStart"/>
            <w:r>
              <w:t>bw</w:t>
            </w:r>
            <w:proofErr w:type="spellEnd"/>
            <w:r w:rsidRPr="004A774C">
              <w:t>/day</w:t>
            </w:r>
            <w:r w:rsidRPr="004A774C">
              <w:br/>
            </w:r>
            <w:r w:rsidRPr="004A774C">
              <w:rPr>
                <w:b/>
                <w:bCs/>
              </w:rPr>
              <w:t>Basis:</w:t>
            </w:r>
            <w:r w:rsidRPr="004A774C">
              <w:t xml:space="preserve"> </w:t>
            </w:r>
            <w:r>
              <w:t>F</w:t>
            </w:r>
            <w:r w:rsidRPr="004A774C">
              <w:t>etal/pup body weight changes</w:t>
            </w:r>
            <w:r>
              <w:t>.</w:t>
            </w:r>
            <w:r w:rsidRPr="004A774C">
              <w:t xml:space="preserve"> </w:t>
            </w:r>
          </w:p>
        </w:tc>
        <w:tc>
          <w:tcPr>
            <w:tcW w:w="3240" w:type="dxa"/>
            <w:tcBorders>
              <w:top w:val="nil"/>
              <w:left w:val="nil"/>
              <w:bottom w:val="single" w:sz="4" w:space="0" w:color="auto"/>
              <w:right w:val="single" w:sz="4" w:space="0" w:color="auto"/>
            </w:tcBorders>
            <w:shd w:val="clear" w:color="auto" w:fill="EAF1DD" w:themeFill="accent3" w:themeFillTint="33"/>
            <w:hideMark/>
          </w:tcPr>
          <w:p w14:paraId="17D38382" w14:textId="77777777" w:rsidR="003841B3" w:rsidRPr="004A774C" w:rsidRDefault="00A85D6C" w:rsidP="000F7882">
            <w:pPr>
              <w:pStyle w:val="ITRCTableText"/>
            </w:pPr>
            <w:hyperlink r:id="rId31" w:history="1">
              <w:r w:rsidR="003841B3">
                <w:rPr>
                  <w:rStyle w:val="Hyperlink"/>
                </w:rPr>
                <w:t>Anonymous (2018)</w:t>
              </w:r>
            </w:hyperlink>
            <w:r w:rsidR="003841B3">
              <w:t xml:space="preserve">. </w:t>
            </w:r>
            <w:r w:rsidR="003841B3" w:rsidRPr="00EE626B">
              <w:t xml:space="preserve">An Oral (Gavage) Prenatal Developmental Toxicity Study of N-1,3- </w:t>
            </w:r>
            <w:proofErr w:type="spellStart"/>
            <w:r w:rsidR="003841B3" w:rsidRPr="00EE626B">
              <w:t>DimethylbutylN</w:t>
            </w:r>
            <w:proofErr w:type="spellEnd"/>
            <w:r w:rsidR="003841B3" w:rsidRPr="00EE626B">
              <w:t>’-Phenyl-p-Phenylenediamine in Rabbits</w:t>
            </w:r>
            <w:r w:rsidR="003841B3" w:rsidRPr="004A774C">
              <w:t xml:space="preserve">, </w:t>
            </w:r>
            <w:r w:rsidR="003841B3" w:rsidRPr="0032245B">
              <w:t xml:space="preserve">as cited in </w:t>
            </w:r>
            <w:r w:rsidR="003841B3" w:rsidRPr="0032245B">
              <w:fldChar w:fldCharType="begin"/>
            </w:r>
            <w:r w:rsidR="003841B3" w:rsidRPr="0032245B">
              <w:instrText xml:space="preserve"> ADDIN ZOTERO_ITEM CSL_CITATION {"citationID":"SQGvbF2S","properties":{"formattedCitation":"(ECHA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rsidRPr="0032245B">
              <w:fldChar w:fldCharType="separate"/>
            </w:r>
            <w:r w:rsidR="003841B3" w:rsidRPr="0032245B">
              <w:t>(ECHA 2023)</w:t>
            </w:r>
            <w:r w:rsidR="003841B3" w:rsidRPr="0032245B">
              <w:fldChar w:fldCharType="end"/>
            </w:r>
            <w:r w:rsidR="003841B3" w:rsidRPr="004A774C">
              <w:t>.</w:t>
            </w:r>
          </w:p>
        </w:tc>
      </w:tr>
      <w:tr w:rsidR="009D312B" w:rsidRPr="004A774C" w14:paraId="5A75499B"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6EE16A1" w14:textId="77777777" w:rsidR="003841B3" w:rsidRPr="004A774C" w:rsidRDefault="003841B3" w:rsidP="000F7882">
            <w:pPr>
              <w:pStyle w:val="ITRCTableTextCentered"/>
            </w:pPr>
            <w:r w:rsidRPr="004A774C">
              <w:lastRenderedPageBreak/>
              <w:t>6PPD</w:t>
            </w:r>
          </w:p>
        </w:tc>
        <w:tc>
          <w:tcPr>
            <w:tcW w:w="1440" w:type="dxa"/>
            <w:tcBorders>
              <w:top w:val="nil"/>
              <w:left w:val="nil"/>
              <w:bottom w:val="single" w:sz="4" w:space="0" w:color="auto"/>
              <w:right w:val="single" w:sz="4" w:space="0" w:color="auto"/>
            </w:tcBorders>
            <w:shd w:val="clear" w:color="auto" w:fill="EAF1DD" w:themeFill="accent3" w:themeFillTint="33"/>
            <w:noWrap/>
            <w:vAlign w:val="center"/>
            <w:hideMark/>
          </w:tcPr>
          <w:p w14:paraId="06E70A9D" w14:textId="77777777" w:rsidR="003841B3" w:rsidRPr="004A774C" w:rsidRDefault="003841B3" w:rsidP="000F7882">
            <w:pPr>
              <w:pStyle w:val="ITRCTableTextCentered"/>
            </w:pPr>
            <w:r w:rsidRPr="004A774C">
              <w:t xml:space="preserve">Developmental </w:t>
            </w:r>
            <w:r>
              <w:t>t</w:t>
            </w:r>
            <w:r w:rsidRPr="004A774C">
              <w:t>oxicity</w:t>
            </w:r>
          </w:p>
        </w:tc>
        <w:tc>
          <w:tcPr>
            <w:tcW w:w="4230" w:type="dxa"/>
            <w:tcBorders>
              <w:top w:val="nil"/>
              <w:left w:val="nil"/>
              <w:bottom w:val="single" w:sz="4" w:space="0" w:color="auto"/>
              <w:right w:val="single" w:sz="4" w:space="0" w:color="auto"/>
            </w:tcBorders>
            <w:shd w:val="clear" w:color="auto" w:fill="EAF1DD" w:themeFill="accent3" w:themeFillTint="33"/>
            <w:vAlign w:val="center"/>
            <w:hideMark/>
          </w:tcPr>
          <w:p w14:paraId="688EE0A1" w14:textId="77777777" w:rsidR="003841B3" w:rsidRPr="004A774C" w:rsidRDefault="003841B3" w:rsidP="000F7882">
            <w:pPr>
              <w:pStyle w:val="ITRCTableText"/>
            </w:pPr>
            <w:r w:rsidRPr="004A774C">
              <w:t xml:space="preserve">In an early teratogenicity study, </w:t>
            </w:r>
            <w:r>
              <w:t xml:space="preserve">New Zealand </w:t>
            </w:r>
            <w:r w:rsidRPr="004A774C">
              <w:t>Albino rabbits were exposed to the 0, 10</w:t>
            </w:r>
            <w:r>
              <w:t>,</w:t>
            </w:r>
            <w:r w:rsidRPr="004A774C">
              <w:t xml:space="preserve"> or 30</w:t>
            </w:r>
            <w:r>
              <w:t> mg/kg</w:t>
            </w:r>
            <w:r>
              <w:noBreakHyphen/>
            </w:r>
            <w:proofErr w:type="spellStart"/>
            <w:r>
              <w:t>bw</w:t>
            </w:r>
            <w:proofErr w:type="spellEnd"/>
            <w:r w:rsidRPr="004A774C">
              <w:t>/day of 6PPD from gestation day 6 to 18 (organogenesis) and sacrificed on day 29 of gestation. The results of a pilot study showing high maternal toxicity at 100 and 300</w:t>
            </w:r>
            <w:r>
              <w:t> mg/kg</w:t>
            </w:r>
            <w:r>
              <w:noBreakHyphen/>
            </w:r>
            <w:proofErr w:type="spellStart"/>
            <w:r>
              <w:t>bw</w:t>
            </w:r>
            <w:proofErr w:type="spellEnd"/>
            <w:r w:rsidRPr="004A774C">
              <w:t>/day determined the doses used.</w:t>
            </w:r>
          </w:p>
        </w:tc>
        <w:tc>
          <w:tcPr>
            <w:tcW w:w="2340" w:type="dxa"/>
            <w:tcBorders>
              <w:top w:val="nil"/>
              <w:left w:val="nil"/>
              <w:bottom w:val="single" w:sz="4" w:space="0" w:color="auto"/>
              <w:right w:val="single" w:sz="4" w:space="0" w:color="auto"/>
            </w:tcBorders>
            <w:shd w:val="clear" w:color="auto" w:fill="EAF1DD" w:themeFill="accent3" w:themeFillTint="33"/>
            <w:vAlign w:val="center"/>
            <w:hideMark/>
          </w:tcPr>
          <w:p w14:paraId="4C4C7826" w14:textId="77777777" w:rsidR="003841B3" w:rsidRPr="004A774C" w:rsidRDefault="003841B3" w:rsidP="000F7882">
            <w:pPr>
              <w:pStyle w:val="ITRCTableText"/>
            </w:pPr>
            <w:r w:rsidRPr="004A774C">
              <w:t>New Zealand Albino rabbit</w:t>
            </w:r>
          </w:p>
        </w:tc>
        <w:tc>
          <w:tcPr>
            <w:tcW w:w="9270" w:type="dxa"/>
            <w:tcBorders>
              <w:top w:val="nil"/>
              <w:left w:val="nil"/>
              <w:bottom w:val="single" w:sz="4" w:space="0" w:color="auto"/>
              <w:right w:val="single" w:sz="4" w:space="0" w:color="auto"/>
            </w:tcBorders>
            <w:shd w:val="clear" w:color="auto" w:fill="EAF1DD" w:themeFill="accent3" w:themeFillTint="33"/>
            <w:vAlign w:val="center"/>
            <w:hideMark/>
          </w:tcPr>
          <w:p w14:paraId="2CAA26B8" w14:textId="77777777" w:rsidR="003841B3" w:rsidRDefault="003841B3" w:rsidP="000F7882">
            <w:pPr>
              <w:pStyle w:val="ITRCTableText"/>
            </w:pPr>
            <w:r w:rsidRPr="004A774C">
              <w:t>The application of 6PPD did not cause test-substance</w:t>
            </w:r>
            <w:r w:rsidRPr="00C62698">
              <w:t>–</w:t>
            </w:r>
            <w:r w:rsidRPr="004A774C">
              <w:t>related increased incidences of external, visceral</w:t>
            </w:r>
            <w:r>
              <w:t>,</w:t>
            </w:r>
            <w:r w:rsidRPr="004A774C">
              <w:t xml:space="preserve"> or skeletal abnormalities.</w:t>
            </w:r>
          </w:p>
          <w:p w14:paraId="169C1D50" w14:textId="77777777" w:rsidR="003841B3" w:rsidRDefault="003841B3" w:rsidP="000F7882">
            <w:pPr>
              <w:pStyle w:val="ITRCTableText"/>
            </w:pPr>
            <w:r w:rsidRPr="004A774C">
              <w:rPr>
                <w:b/>
                <w:bCs/>
              </w:rPr>
              <w:t>NOAEL (maternal toxicity):</w:t>
            </w:r>
            <w:r w:rsidRPr="004A774C">
              <w:t xml:space="preserve"> 30</w:t>
            </w:r>
            <w:r>
              <w:t> mg/kg</w:t>
            </w:r>
            <w:r>
              <w:noBreakHyphen/>
            </w:r>
            <w:proofErr w:type="spellStart"/>
            <w:r>
              <w:t>bw</w:t>
            </w:r>
            <w:proofErr w:type="spellEnd"/>
            <w:r w:rsidRPr="004A774C">
              <w:t>/day</w:t>
            </w:r>
            <w:r w:rsidRPr="004A774C">
              <w:br/>
            </w:r>
            <w:r w:rsidRPr="004A774C">
              <w:rPr>
                <w:b/>
                <w:bCs/>
              </w:rPr>
              <w:t xml:space="preserve">Basis: </w:t>
            </w:r>
            <w:r>
              <w:t>N</w:t>
            </w:r>
            <w:r w:rsidRPr="004A774C">
              <w:t>o adverse effects</w:t>
            </w:r>
            <w:r>
              <w:t>.</w:t>
            </w:r>
          </w:p>
          <w:p w14:paraId="7E1D4FF0" w14:textId="77777777" w:rsidR="003841B3" w:rsidRPr="004A774C" w:rsidRDefault="003841B3" w:rsidP="000F7882">
            <w:pPr>
              <w:pStyle w:val="ITRCTableText"/>
            </w:pPr>
            <w:r w:rsidRPr="004A774C">
              <w:rPr>
                <w:b/>
                <w:bCs/>
              </w:rPr>
              <w:t xml:space="preserve">NOAEL (teratogenicity): </w:t>
            </w:r>
            <w:r w:rsidRPr="004A774C">
              <w:t>30</w:t>
            </w:r>
            <w:r>
              <w:t> mg/kg</w:t>
            </w:r>
            <w:r>
              <w:noBreakHyphen/>
            </w:r>
            <w:proofErr w:type="spellStart"/>
            <w:r>
              <w:t>bw</w:t>
            </w:r>
            <w:proofErr w:type="spellEnd"/>
            <w:r w:rsidRPr="004A774C">
              <w:t>/day</w:t>
            </w:r>
            <w:r w:rsidRPr="004A774C">
              <w:br/>
            </w:r>
            <w:r w:rsidRPr="004A774C">
              <w:rPr>
                <w:b/>
                <w:bCs/>
              </w:rPr>
              <w:t>Basis:</w:t>
            </w:r>
            <w:r w:rsidRPr="004A774C">
              <w:t xml:space="preserve"> </w:t>
            </w:r>
            <w:r>
              <w:t>N</w:t>
            </w:r>
            <w:r w:rsidRPr="004A774C">
              <w:t>o adverse effects</w:t>
            </w:r>
            <w:r>
              <w:t>.</w:t>
            </w:r>
          </w:p>
        </w:tc>
        <w:tc>
          <w:tcPr>
            <w:tcW w:w="3240" w:type="dxa"/>
            <w:tcBorders>
              <w:top w:val="nil"/>
              <w:left w:val="nil"/>
              <w:bottom w:val="single" w:sz="4" w:space="0" w:color="auto"/>
              <w:right w:val="single" w:sz="4" w:space="0" w:color="auto"/>
            </w:tcBorders>
            <w:shd w:val="clear" w:color="auto" w:fill="EAF1DD" w:themeFill="accent3" w:themeFillTint="33"/>
            <w:hideMark/>
          </w:tcPr>
          <w:p w14:paraId="4590AE23" w14:textId="77777777" w:rsidR="003841B3" w:rsidRPr="004A774C" w:rsidRDefault="00A85D6C" w:rsidP="000F7882">
            <w:pPr>
              <w:pStyle w:val="ITRCTableText"/>
            </w:pPr>
            <w:hyperlink r:id="rId32" w:history="1">
              <w:r w:rsidR="003841B3">
                <w:rPr>
                  <w:rStyle w:val="Hyperlink"/>
                </w:rPr>
                <w:t>Anonymous (1976)</w:t>
              </w:r>
            </w:hyperlink>
            <w:r w:rsidR="003841B3">
              <w:t>.</w:t>
            </w:r>
            <w:r w:rsidR="003841B3" w:rsidRPr="001314E5">
              <w:t xml:space="preserve"> </w:t>
            </w:r>
            <w:r w:rsidR="003841B3" w:rsidRPr="00414E7E">
              <w:t xml:space="preserve">Teratogenicity study with </w:t>
            </w:r>
            <w:proofErr w:type="spellStart"/>
            <w:r w:rsidR="003841B3" w:rsidRPr="00414E7E">
              <w:t>Santoflex</w:t>
            </w:r>
            <w:proofErr w:type="spellEnd"/>
            <w:r w:rsidR="003841B3" w:rsidRPr="00414E7E">
              <w:t xml:space="preserve"> 13 in Albino rats with cover sheets and letter</w:t>
            </w:r>
            <w:r w:rsidR="003841B3" w:rsidRPr="004A774C">
              <w:t xml:space="preserve">, </w:t>
            </w:r>
            <w:r w:rsidR="003841B3" w:rsidRPr="0032245B">
              <w:t xml:space="preserve">as cited in </w:t>
            </w:r>
            <w:r w:rsidR="003841B3" w:rsidRPr="0032245B">
              <w:fldChar w:fldCharType="begin"/>
            </w:r>
            <w:r w:rsidR="003841B3" w:rsidRPr="0032245B">
              <w:instrText xml:space="preserve"> ADDIN ZOTERO_ITEM CSL_CITATION {"citationID":"SQGvbF2S","properties":{"formattedCitation":"(ECHA 2023)","plainCitation":"(ECHA 2023)","noteIndex":0},"citationItems":[{"id":2575,"uris":["http://zotero.org/groups/4911552/items/XAJCC96J"],"itemData":{"id":2575,"type":"report","collection-title":"Registry of CLH Intentions Until Outcome","event-place":"Helsinki, Finland","publisher":"ECHA: European Chemicals Agency","publisher-place":"Helsinki, Finland","title":"CLH Report for N-1,3-dimethylbutyl-N'-phenyl-p-phenylenediamine","URL":"https://echa.europa.eu/documents/10162/2d0a7ea4-0e57-fff1-3412-92c929f4129e","author":[{"family":"ECHA","given":""}],"issued":{"date-parts":[["2023",5]]}}}],"schema":"https://github.com/citation-style-language/schema/raw/master/csl-citation.json"} </w:instrText>
            </w:r>
            <w:r w:rsidR="003841B3" w:rsidRPr="0032245B">
              <w:fldChar w:fldCharType="separate"/>
            </w:r>
            <w:r w:rsidR="003841B3" w:rsidRPr="0032245B">
              <w:t>(ECHA 2023)</w:t>
            </w:r>
            <w:r w:rsidR="003841B3" w:rsidRPr="0032245B">
              <w:fldChar w:fldCharType="end"/>
            </w:r>
            <w:r w:rsidR="003841B3" w:rsidRPr="004A774C">
              <w:t>.</w:t>
            </w:r>
          </w:p>
        </w:tc>
      </w:tr>
      <w:tr w:rsidR="00E6444E" w:rsidRPr="004A774C" w14:paraId="3DDE3608"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2F93A5F" w14:textId="77777777" w:rsidR="00590F73" w:rsidRPr="004A774C" w:rsidRDefault="00590F73" w:rsidP="00F95A47">
            <w:pPr>
              <w:pStyle w:val="ITRCTableTextCentered"/>
            </w:pPr>
            <w:r w:rsidRPr="004A774C">
              <w:t>6PPD-q</w:t>
            </w:r>
          </w:p>
        </w:tc>
        <w:tc>
          <w:tcPr>
            <w:tcW w:w="1440" w:type="dxa"/>
            <w:tcBorders>
              <w:top w:val="nil"/>
              <w:left w:val="nil"/>
              <w:bottom w:val="single" w:sz="4" w:space="0" w:color="auto"/>
              <w:right w:val="single" w:sz="4" w:space="0" w:color="auto"/>
            </w:tcBorders>
            <w:shd w:val="clear" w:color="auto" w:fill="DBE5F1" w:themeFill="accent1" w:themeFillTint="33"/>
            <w:vAlign w:val="center"/>
            <w:hideMark/>
          </w:tcPr>
          <w:p w14:paraId="6E411CBC" w14:textId="75945B86" w:rsidR="00590F73" w:rsidRPr="004A774C" w:rsidRDefault="00590F73" w:rsidP="00F95A47">
            <w:pPr>
              <w:pStyle w:val="ITRCTableTextCentered"/>
            </w:pPr>
            <w:r w:rsidRPr="004A774C">
              <w:t xml:space="preserve">ADME, </w:t>
            </w:r>
            <w:r>
              <w:t>r</w:t>
            </w:r>
            <w:r w:rsidRPr="004A774C">
              <w:t xml:space="preserve">epeat </w:t>
            </w:r>
            <w:r>
              <w:t>d</w:t>
            </w:r>
            <w:r w:rsidRPr="004A774C">
              <w:t>ose (</w:t>
            </w:r>
            <w:proofErr w:type="spellStart"/>
            <w:r>
              <w:t>s</w:t>
            </w:r>
            <w:r w:rsidRPr="004A774C">
              <w:t>ubchronic</w:t>
            </w:r>
            <w:proofErr w:type="spellEnd"/>
            <w:r w:rsidRPr="004A774C">
              <w:t>)</w:t>
            </w:r>
          </w:p>
        </w:tc>
        <w:tc>
          <w:tcPr>
            <w:tcW w:w="4230" w:type="dxa"/>
            <w:tcBorders>
              <w:top w:val="nil"/>
              <w:left w:val="nil"/>
              <w:bottom w:val="single" w:sz="4" w:space="0" w:color="auto"/>
              <w:right w:val="single" w:sz="4" w:space="0" w:color="auto"/>
            </w:tcBorders>
            <w:shd w:val="clear" w:color="auto" w:fill="DBE5F1" w:themeFill="accent1" w:themeFillTint="33"/>
            <w:vAlign w:val="center"/>
            <w:hideMark/>
          </w:tcPr>
          <w:p w14:paraId="4421D358" w14:textId="0D9FAF8C" w:rsidR="00590F73" w:rsidRDefault="00590F73" w:rsidP="00F95A47">
            <w:pPr>
              <w:pStyle w:val="ITRCTableText"/>
            </w:pPr>
            <w:r w:rsidRPr="004A774C">
              <w:t>Two exposure modes were performed</w:t>
            </w:r>
            <w:r>
              <w:t>:</w:t>
            </w:r>
            <w:r w:rsidRPr="004A774C">
              <w:t xml:space="preserve"> single and repeated intraperitoneal injections.</w:t>
            </w:r>
          </w:p>
          <w:p w14:paraId="2B2CF605" w14:textId="10B36000" w:rsidR="00590F73" w:rsidRDefault="00590F73" w:rsidP="00F95A47">
            <w:pPr>
              <w:pStyle w:val="ITRCTableText"/>
            </w:pPr>
            <w:r w:rsidRPr="004A774C">
              <w:t>0.4</w:t>
            </w:r>
            <w:r>
              <w:t> mg/kg</w:t>
            </w:r>
            <w:r>
              <w:noBreakHyphen/>
            </w:r>
            <w:proofErr w:type="spellStart"/>
            <w:r>
              <w:t>bw</w:t>
            </w:r>
            <w:proofErr w:type="spellEnd"/>
            <w:r w:rsidRPr="004A774C">
              <w:t>, 4</w:t>
            </w:r>
            <w:r>
              <w:t> mg/kg</w:t>
            </w:r>
            <w:r>
              <w:noBreakHyphen/>
            </w:r>
            <w:proofErr w:type="spellStart"/>
            <w:r>
              <w:t>bw</w:t>
            </w:r>
            <w:proofErr w:type="spellEnd"/>
            <w:r w:rsidRPr="004A774C">
              <w:t>.</w:t>
            </w:r>
          </w:p>
          <w:p w14:paraId="52F84A69" w14:textId="39D4938A" w:rsidR="00590F73" w:rsidRPr="004A774C" w:rsidRDefault="00590F73" w:rsidP="00F95A47">
            <w:pPr>
              <w:pStyle w:val="ITRCTableText"/>
            </w:pPr>
            <w:r w:rsidRPr="004A774C">
              <w:t>Repeated dose was every 4 days for 28 days</w:t>
            </w:r>
          </w:p>
        </w:tc>
        <w:tc>
          <w:tcPr>
            <w:tcW w:w="2340" w:type="dxa"/>
            <w:tcBorders>
              <w:top w:val="nil"/>
              <w:left w:val="nil"/>
              <w:bottom w:val="single" w:sz="4" w:space="0" w:color="auto"/>
              <w:right w:val="single" w:sz="4" w:space="0" w:color="auto"/>
            </w:tcBorders>
            <w:shd w:val="clear" w:color="auto" w:fill="DBE5F1" w:themeFill="accent1" w:themeFillTint="33"/>
            <w:vAlign w:val="center"/>
            <w:hideMark/>
          </w:tcPr>
          <w:p w14:paraId="1A4B9090" w14:textId="77777777" w:rsidR="00590F73" w:rsidRPr="004A774C" w:rsidRDefault="00590F73" w:rsidP="00F95A47">
            <w:pPr>
              <w:pStyle w:val="ITRCTableText"/>
            </w:pPr>
            <w:r w:rsidRPr="004A774C">
              <w:t>Male BALB/c mice (n=36)</w:t>
            </w:r>
          </w:p>
        </w:tc>
        <w:tc>
          <w:tcPr>
            <w:tcW w:w="9270" w:type="dxa"/>
            <w:tcBorders>
              <w:top w:val="nil"/>
              <w:left w:val="nil"/>
              <w:bottom w:val="single" w:sz="4" w:space="0" w:color="auto"/>
              <w:right w:val="single" w:sz="4" w:space="0" w:color="auto"/>
            </w:tcBorders>
            <w:shd w:val="clear" w:color="auto" w:fill="DBE5F1" w:themeFill="accent1" w:themeFillTint="33"/>
            <w:vAlign w:val="center"/>
            <w:hideMark/>
          </w:tcPr>
          <w:p w14:paraId="17CF3B18" w14:textId="0998ECAE" w:rsidR="00590F73" w:rsidRDefault="00590F73" w:rsidP="00F95A47">
            <w:pPr>
              <w:pStyle w:val="ITRCTableText"/>
            </w:pPr>
            <w:r w:rsidRPr="004A774C">
              <w:t>Serum, liver, kidney, lung, spleen, testis, brain, and heart were collected for injury evaluation by organ index, histopathology analysis</w:t>
            </w:r>
            <w:r>
              <w:t>,</w:t>
            </w:r>
            <w:r w:rsidRPr="004A774C">
              <w:t xml:space="preserve"> and biochemical parameters for liver (ALT</w:t>
            </w:r>
            <w:r>
              <w:t xml:space="preserve">, </w:t>
            </w:r>
            <w:r w:rsidRPr="004A774C">
              <w:t>AST</w:t>
            </w:r>
            <w:r>
              <w:t xml:space="preserve">, and </w:t>
            </w:r>
            <w:r w:rsidRPr="004A774C">
              <w:t>ALP) and kidney (urea and creatine).</w:t>
            </w:r>
          </w:p>
          <w:p w14:paraId="309CF88C" w14:textId="018F149B" w:rsidR="00590F73" w:rsidRDefault="00590F73" w:rsidP="00F95A47">
            <w:pPr>
              <w:pStyle w:val="ITRCTableText"/>
            </w:pPr>
            <w:r w:rsidRPr="004A774C">
              <w:t>Repeated exposure indicated alterations in organs of liver, kidney, lung, spleen</w:t>
            </w:r>
            <w:r>
              <w:t>,</w:t>
            </w:r>
            <w:r w:rsidRPr="004A774C">
              <w:t xml:space="preserve"> and testis; significant pathological changes in liver, kidney, lung, spleen, testis</w:t>
            </w:r>
            <w:r>
              <w:t>,</w:t>
            </w:r>
            <w:r w:rsidRPr="004A774C">
              <w:t xml:space="preserve"> and brain; and altered liver and kidney biochemical parameters.</w:t>
            </w:r>
          </w:p>
          <w:p w14:paraId="5FF5A5CC" w14:textId="6EF030EE" w:rsidR="00D07887" w:rsidRPr="00D07887" w:rsidRDefault="00590F73" w:rsidP="00AA2511">
            <w:pPr>
              <w:pStyle w:val="ITRCTableText"/>
            </w:pPr>
            <w:r w:rsidRPr="004A774C">
              <w:t>Accumulation was highest in the lung (23.09</w:t>
            </w:r>
            <w:r>
              <w:t> ± </w:t>
            </w:r>
            <w:r w:rsidRPr="004A774C">
              <w:t>4.13 ng/g) and liver (19.41</w:t>
            </w:r>
            <w:r>
              <w:t> ± </w:t>
            </w:r>
            <w:r w:rsidRPr="004A774C">
              <w:t>3.37</w:t>
            </w:r>
            <w:r>
              <w:t> </w:t>
            </w:r>
            <w:r w:rsidRPr="004A774C">
              <w:t>ng/g)</w:t>
            </w:r>
            <w:r>
              <w:t>,</w:t>
            </w:r>
            <w:r w:rsidRPr="004A774C">
              <w:t xml:space="preserve"> followed by the kidney (10.93</w:t>
            </w:r>
            <w:r>
              <w:t> ± </w:t>
            </w:r>
            <w:r w:rsidRPr="004A774C">
              <w:t>2.04 ng/g). Lesser amounts were accumulated in the spleen, testis</w:t>
            </w:r>
            <w:r>
              <w:t>,</w:t>
            </w:r>
            <w:r w:rsidRPr="004A774C">
              <w:t xml:space="preserve"> and brain. 6PPD-q was not detected in the heart.</w:t>
            </w:r>
          </w:p>
        </w:tc>
        <w:tc>
          <w:tcPr>
            <w:tcW w:w="3240" w:type="dxa"/>
            <w:tcBorders>
              <w:top w:val="nil"/>
              <w:left w:val="nil"/>
              <w:bottom w:val="single" w:sz="4" w:space="0" w:color="auto"/>
              <w:right w:val="single" w:sz="4" w:space="0" w:color="auto"/>
            </w:tcBorders>
            <w:shd w:val="clear" w:color="auto" w:fill="DBE5F1" w:themeFill="accent1" w:themeFillTint="33"/>
            <w:hideMark/>
          </w:tcPr>
          <w:p w14:paraId="6DE679DE" w14:textId="57295BB1" w:rsidR="00590F73" w:rsidRPr="004A774C" w:rsidRDefault="005F2D5F" w:rsidP="006562E6">
            <w:pPr>
              <w:pStyle w:val="ITRCTableText"/>
            </w:pPr>
            <w:r>
              <w:fldChar w:fldCharType="begin"/>
            </w:r>
            <w:r w:rsidR="002B1797">
              <w:instrText xml:space="preserve"> ADDIN ZOTERO_ITEM CSL_CITATION {"citationID":"qyqDqnez","properties":{"formattedCitation":"(He, Gu, and Wang 2023)","plainCitation":"(He, Gu, and Wang 2023)","noteIndex":0},"citationItems":[{"id":1300,"uris":["http://zotero.org/groups/4911552/items/6MPWVZGE"],"itemData":{"id":1300,"type":"article-journal","abstract":"N-(1,3-dimethylbutyl)-N′-phenyl-p-phenylenediamine quinone (6-PPDQ) is the ozonation product of tire antioxidant 6-PPD. 6-PPDQ can be detected in different environments, such as roadway runoff and dust. Although 6-PPDQ toxicity has been frequently assessed in aquatic organisms, the possible toxic effects of 6-PPDQ on mammals remain largely unclear. We here aimed to perform systematic assessment to evaluate 6-PPDQ toxicity on multiple organs in mice. Male BALB/c mice were intraperitoneally injected with 6-PPDQ for two exposure modes, single intraperitoneal injection and repeated intraperitoneal injection every four days for 28 days. Serum, liver, kidney, lung, spleen, testis, brain, and heart were collected for injury evaluation by organ index, histopathology analysis and biochemical parameters. In 0.4 and 4 mg/kg 6-PPDQ single injected mice, no significant changes in organ indexes and biochemical parameters were detected, and only moderate pathological changes were observed in organs of liver, kidney, lung, and brain. Very different from this, in 0.4 and 4 mg/kg 6-PPDQ repeated injected mice, we observed the obvious increase in organ indexes of liver, kidney, lung, testis, and brain, and the decrease in spleen index. Meanwhile, the significant pathological changes were formed in liver, kidney, lung, spleen, testis, and brain in 0.4 and 4 mg/kg 6-PPDQ repeated injected mice. Biochemical parameters of liver (alanine aminotransferase (ALT), aspartate aminotransferase (AST), and alkaline phosphatase (ALP)) and kidney (urea and creatinine) were all significantly upregulated by repeated injection with 0.4 and 4 mg/kg 6-PPDQ. After repeated exposure, most of 6-PPDQ was accumulated in liver and lung of mice. Therefore, our results suggested the risk of repeated exposure to 6-PPDQ in inducing toxicity on multiple organs in mice.","container-title":"Science of the Total Environment","DOI":"10.1016/j.scitotenv.2023.164842","ISSN":"0048-9697","journalAbbreviation":"Science of the Total Environment","page":"164842","title":"Four-week repeated exposure to tire-derived 6-PPD quinone causes multiple organ injury in male BALB/c mice","volume":"894","author":[{"family":"He","given":"Wenmiao"},{"family":"Gu","given":"Aihua"},{"family":"Wang","given":"Dayong"}],"issued":{"date-parts":[["2023",10,10]]}}}],"schema":"https://github.com/citation-style-language/schema/raw/master/csl-citation.json"} </w:instrText>
            </w:r>
            <w:r>
              <w:fldChar w:fldCharType="separate"/>
            </w:r>
            <w:r w:rsidRPr="0083303D">
              <w:t>(He, Gu, and Wang 2023)</w:t>
            </w:r>
            <w:r>
              <w:fldChar w:fldCharType="end"/>
            </w:r>
            <w:r w:rsidR="006562E6">
              <w:br/>
            </w:r>
            <w:hyperlink r:id="rId33" w:history="1">
              <w:r w:rsidR="00E6444E" w:rsidRPr="001A6E18">
                <w:rPr>
                  <w:rStyle w:val="Hyperlink"/>
                </w:rPr>
                <w:t>https://doi.org/10.1016/j.scitotenv.2023.164842</w:t>
              </w:r>
            </w:hyperlink>
            <w:r w:rsidR="00590F73" w:rsidRPr="004A774C">
              <w:t>.</w:t>
            </w:r>
          </w:p>
        </w:tc>
      </w:tr>
      <w:tr w:rsidR="00E6444E" w:rsidRPr="004A774C" w14:paraId="0686265C"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DA4D29D" w14:textId="77777777" w:rsidR="00590F73" w:rsidRPr="004A774C" w:rsidRDefault="00590F73" w:rsidP="00F95A47">
            <w:pPr>
              <w:pStyle w:val="ITRCTableTextCentered"/>
            </w:pPr>
            <w:r w:rsidRPr="004A774C">
              <w:t>6PPD-q</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14:paraId="6730B284" w14:textId="549BE532" w:rsidR="00590F73" w:rsidRPr="004A774C" w:rsidRDefault="00590F73" w:rsidP="00F95A47">
            <w:pPr>
              <w:pStyle w:val="ITRCTableTextCentered"/>
            </w:pPr>
            <w:r w:rsidRPr="004A774C">
              <w:t xml:space="preserve">ADME, </w:t>
            </w:r>
            <w:r>
              <w:t>n</w:t>
            </w:r>
            <w:r w:rsidRPr="004A774C">
              <w:t>eurotoxicity</w:t>
            </w:r>
          </w:p>
        </w:tc>
        <w:tc>
          <w:tcPr>
            <w:tcW w:w="4230" w:type="dxa"/>
            <w:tcBorders>
              <w:top w:val="nil"/>
              <w:left w:val="nil"/>
              <w:bottom w:val="single" w:sz="4" w:space="0" w:color="auto"/>
              <w:right w:val="single" w:sz="4" w:space="0" w:color="auto"/>
            </w:tcBorders>
            <w:shd w:val="clear" w:color="auto" w:fill="DBE5F1" w:themeFill="accent1" w:themeFillTint="33"/>
            <w:vAlign w:val="center"/>
            <w:hideMark/>
          </w:tcPr>
          <w:p w14:paraId="590AAE49" w14:textId="0DFC2569" w:rsidR="00590F73" w:rsidRDefault="00590F73" w:rsidP="00F95A47">
            <w:pPr>
              <w:pStyle w:val="ITRCTableText"/>
            </w:pPr>
            <w:r w:rsidRPr="004A774C">
              <w:t>Testing concentrations of 10</w:t>
            </w:r>
            <w:r>
              <w:t> </w:t>
            </w:r>
            <w:proofErr w:type="spellStart"/>
            <w:r>
              <w:t>nM</w:t>
            </w:r>
            <w:proofErr w:type="spellEnd"/>
            <w:r w:rsidRPr="004A774C">
              <w:t xml:space="preserve"> (2.98</w:t>
            </w:r>
            <w:r>
              <w:t> ng/</w:t>
            </w:r>
            <w:r w:rsidR="00192AF8">
              <w:t>mL</w:t>
            </w:r>
            <w:r w:rsidRPr="004A774C">
              <w:t>) or 100</w:t>
            </w:r>
            <w:r>
              <w:t> </w:t>
            </w:r>
            <w:proofErr w:type="spellStart"/>
            <w:r>
              <w:t>nM</w:t>
            </w:r>
            <w:proofErr w:type="spellEnd"/>
            <w:r w:rsidRPr="004A774C">
              <w:t xml:space="preserve"> (29.8 ng/</w:t>
            </w:r>
            <w:r w:rsidR="00192AF8">
              <w:t>mL</w:t>
            </w:r>
            <w:r w:rsidRPr="004A774C">
              <w:t xml:space="preserve">) 6PPD-q were used to evaluate the potential to exacerbate Lewy </w:t>
            </w:r>
            <w:proofErr w:type="spellStart"/>
            <w:r w:rsidRPr="004A774C">
              <w:t>neutrite</w:t>
            </w:r>
            <w:proofErr w:type="spellEnd"/>
            <w:r w:rsidRPr="004A774C">
              <w:t xml:space="preserve"> formation. α-syn PFF and 6PPD-q were added to neurons at 10 days in vitro for 7 days.</w:t>
            </w:r>
          </w:p>
          <w:p w14:paraId="523D57EE" w14:textId="6387F238" w:rsidR="00590F73" w:rsidRPr="004A774C" w:rsidRDefault="00590F73" w:rsidP="00F95A47">
            <w:pPr>
              <w:pStyle w:val="ITRCTableText"/>
            </w:pPr>
            <w:r w:rsidRPr="004A774C">
              <w:t xml:space="preserve">To determine </w:t>
            </w:r>
            <w:r>
              <w:t>whether</w:t>
            </w:r>
            <w:r w:rsidRPr="004A774C">
              <w:t xml:space="preserve"> 6PPD-q increased α-syn PFF-induced p-α-synSer129 levels, the authors exposed primary dopaminergic cells to 10</w:t>
            </w:r>
            <w:r>
              <w:t> </w:t>
            </w:r>
            <w:proofErr w:type="spellStart"/>
            <w:r>
              <w:t>nM</w:t>
            </w:r>
            <w:proofErr w:type="spellEnd"/>
            <w:r w:rsidRPr="004A774C">
              <w:t xml:space="preserve"> or 100</w:t>
            </w:r>
            <w:r>
              <w:t> </w:t>
            </w:r>
            <w:proofErr w:type="spellStart"/>
            <w:r>
              <w:t>nM</w:t>
            </w:r>
            <w:proofErr w:type="spellEnd"/>
            <w:r w:rsidRPr="004A774C">
              <w:t xml:space="preserve"> 6PPD-q and/or 1</w:t>
            </w:r>
            <w:r>
              <w:t> </w:t>
            </w:r>
            <w:r w:rsidRPr="004A774C">
              <w:t>µg/</w:t>
            </w:r>
            <w:r w:rsidR="00192AF8">
              <w:t>mL</w:t>
            </w:r>
            <w:r w:rsidRPr="004A774C">
              <w:t xml:space="preserve"> of α-syn PFF.</w:t>
            </w:r>
            <w:r>
              <w:t xml:space="preserve"> W</w:t>
            </w:r>
            <w:r w:rsidRPr="004A774C">
              <w:t>hen measuring effects on mitochondrial respiration, the cells were exposed to 10</w:t>
            </w:r>
            <w:r>
              <w:t> </w:t>
            </w:r>
            <w:proofErr w:type="spellStart"/>
            <w:r>
              <w:t>nM</w:t>
            </w:r>
            <w:proofErr w:type="spellEnd"/>
            <w:r w:rsidRPr="004A774C">
              <w:t xml:space="preserve"> or 100</w:t>
            </w:r>
            <w:r>
              <w:t> </w:t>
            </w:r>
            <w:proofErr w:type="spellStart"/>
            <w:r>
              <w:t>nM</w:t>
            </w:r>
            <w:proofErr w:type="spellEnd"/>
            <w:r w:rsidRPr="004A774C">
              <w:t xml:space="preserve"> 6PPD-q and/or 2</w:t>
            </w:r>
            <w:r>
              <w:t> µg/</w:t>
            </w:r>
            <w:r w:rsidR="00192AF8">
              <w:t>mL</w:t>
            </w:r>
            <w:r w:rsidRPr="004A774C">
              <w:t xml:space="preserve"> of α-syn PFF.</w:t>
            </w:r>
          </w:p>
        </w:tc>
        <w:tc>
          <w:tcPr>
            <w:tcW w:w="2340" w:type="dxa"/>
            <w:tcBorders>
              <w:top w:val="nil"/>
              <w:left w:val="nil"/>
              <w:bottom w:val="single" w:sz="4" w:space="0" w:color="auto"/>
              <w:right w:val="single" w:sz="4" w:space="0" w:color="auto"/>
            </w:tcBorders>
            <w:shd w:val="clear" w:color="auto" w:fill="DBE5F1" w:themeFill="accent1" w:themeFillTint="33"/>
            <w:vAlign w:val="center"/>
            <w:hideMark/>
          </w:tcPr>
          <w:p w14:paraId="16632778" w14:textId="03491EC7" w:rsidR="00590F73" w:rsidRPr="004A774C" w:rsidRDefault="00590F73" w:rsidP="00F95A47">
            <w:pPr>
              <w:pStyle w:val="ITRCTableText"/>
            </w:pPr>
            <w:r w:rsidRPr="004A774C">
              <w:t>Human (n=24 from Shenzhen, South China) and primary dopaminergic neurons from the ventral midbrain of E13.5 C57BL/6 mice</w:t>
            </w:r>
          </w:p>
        </w:tc>
        <w:tc>
          <w:tcPr>
            <w:tcW w:w="9270" w:type="dxa"/>
            <w:tcBorders>
              <w:top w:val="nil"/>
              <w:left w:val="nil"/>
              <w:bottom w:val="single" w:sz="4" w:space="0" w:color="auto"/>
              <w:right w:val="single" w:sz="4" w:space="0" w:color="auto"/>
            </w:tcBorders>
            <w:shd w:val="clear" w:color="auto" w:fill="DBE5F1" w:themeFill="accent1" w:themeFillTint="33"/>
            <w:vAlign w:val="center"/>
            <w:hideMark/>
          </w:tcPr>
          <w:p w14:paraId="3ADB9951" w14:textId="4191C60A" w:rsidR="00590F73" w:rsidRDefault="00590F73" w:rsidP="00F95A47">
            <w:pPr>
              <w:pStyle w:val="ITRCTableText"/>
            </w:pPr>
            <w:r w:rsidRPr="004A774C">
              <w:t>Cerebrospinal fluid samples from Parkinson’s disease patients and non-Parkinson’s disease subjects (controls) were analyzed. The average age of all participants was 57.71 years old, and the age of Parkinson’s disease patients and the control population did not differ significantly. The Parkinson’s disease patients had an average of 7 years of disease. Average concentrations of 6PPD-q were found to be twice as high in Parkinson’s disease patients (11.18</w:t>
            </w:r>
            <w:r>
              <w:t> ng/</w:t>
            </w:r>
            <w:r w:rsidR="00192AF8">
              <w:t>mL</w:t>
            </w:r>
            <w:r w:rsidRPr="004A774C">
              <w:t xml:space="preserve"> and 100% detection frequency) compared to controls (5.07</w:t>
            </w:r>
            <w:r>
              <w:t> ng/</w:t>
            </w:r>
            <w:r w:rsidR="00192AF8">
              <w:t>mL</w:t>
            </w:r>
            <w:r w:rsidRPr="004A774C">
              <w:t xml:space="preserve"> and 64% detection frequency).</w:t>
            </w:r>
          </w:p>
          <w:p w14:paraId="74EDF08C" w14:textId="0B1F98DA" w:rsidR="00D07887" w:rsidRPr="00D07887" w:rsidRDefault="00590F73" w:rsidP="00CE2DA5">
            <w:pPr>
              <w:pStyle w:val="ITRCTableText"/>
            </w:pPr>
            <w:r w:rsidRPr="004A774C">
              <w:t>Treatment of the murine neurons at both 10</w:t>
            </w:r>
            <w:r>
              <w:t> </w:t>
            </w:r>
            <w:proofErr w:type="spellStart"/>
            <w:r>
              <w:t>nM</w:t>
            </w:r>
            <w:proofErr w:type="spellEnd"/>
            <w:r w:rsidRPr="004A774C">
              <w:t xml:space="preserve"> (2.98</w:t>
            </w:r>
            <w:r>
              <w:t> ng/</w:t>
            </w:r>
            <w:r w:rsidR="00192AF8">
              <w:t>mL</w:t>
            </w:r>
            <w:r w:rsidRPr="004A774C">
              <w:t xml:space="preserve">) </w:t>
            </w:r>
            <w:r w:rsidR="00EC00A2">
              <w:t>and</w:t>
            </w:r>
            <w:r w:rsidRPr="004A774C">
              <w:t xml:space="preserve"> 100</w:t>
            </w:r>
            <w:r>
              <w:t> </w:t>
            </w:r>
            <w:proofErr w:type="spellStart"/>
            <w:r>
              <w:t>nM</w:t>
            </w:r>
            <w:proofErr w:type="spellEnd"/>
            <w:r w:rsidRPr="004A774C">
              <w:t xml:space="preserve"> (29.8</w:t>
            </w:r>
            <w:r>
              <w:t> ng/</w:t>
            </w:r>
            <w:r w:rsidR="00192AF8">
              <w:t>mL</w:t>
            </w:r>
            <w:r w:rsidRPr="004A774C">
              <w:t xml:space="preserve">) of 6PPD-q resulted in a dose-dependent decrease in </w:t>
            </w:r>
            <w:r w:rsidR="008A3BF9" w:rsidRPr="00720FC8">
              <w:t xml:space="preserve">adenosine </w:t>
            </w:r>
            <w:r w:rsidR="00720FC8" w:rsidRPr="00720FC8">
              <w:t>triphosphate (ATP)</w:t>
            </w:r>
            <w:r w:rsidR="00720FC8" w:rsidRPr="00720FC8" w:rsidDel="00720FC8">
              <w:t xml:space="preserve"> </w:t>
            </w:r>
            <w:r w:rsidRPr="004A774C">
              <w:t>production. The</w:t>
            </w:r>
            <w:r>
              <w:t xml:space="preserve"> </w:t>
            </w:r>
            <w:r w:rsidRPr="004A774C">
              <w:t>neurons demonstrated a decrease in the basal respiratory capacity after treatment with 100</w:t>
            </w:r>
            <w:r>
              <w:t> </w:t>
            </w:r>
            <w:proofErr w:type="spellStart"/>
            <w:r>
              <w:t>nM</w:t>
            </w:r>
            <w:proofErr w:type="spellEnd"/>
            <w:r w:rsidRPr="004A774C">
              <w:t xml:space="preserve"> 6PPD-q. In addition, 6PPD-q [presumably at 100</w:t>
            </w:r>
            <w:r>
              <w:t> </w:t>
            </w:r>
            <w:proofErr w:type="spellStart"/>
            <w:r>
              <w:t>nM</w:t>
            </w:r>
            <w:proofErr w:type="spellEnd"/>
            <w:r w:rsidRPr="004A774C">
              <w:t>] caused changes in the concentrations of some components of the citric acid cycle. The study authors found some synergistic effects on mitochondrial membrane potential and mitochondrial processes when pre-seeding the cells with misfolded a</w:t>
            </w:r>
            <w:r>
              <w:noBreakHyphen/>
            </w:r>
            <w:r w:rsidRPr="004A774C">
              <w:t>synuclein protein, a hallmark of Parkinson's disease.</w:t>
            </w:r>
          </w:p>
        </w:tc>
        <w:tc>
          <w:tcPr>
            <w:tcW w:w="3240" w:type="dxa"/>
            <w:tcBorders>
              <w:top w:val="nil"/>
              <w:left w:val="nil"/>
              <w:bottom w:val="single" w:sz="4" w:space="0" w:color="auto"/>
              <w:right w:val="single" w:sz="4" w:space="0" w:color="auto"/>
            </w:tcBorders>
            <w:shd w:val="clear" w:color="auto" w:fill="DBE5F1" w:themeFill="accent1" w:themeFillTint="33"/>
            <w:hideMark/>
          </w:tcPr>
          <w:p w14:paraId="67320F69" w14:textId="5C70CA74" w:rsidR="00590F73" w:rsidRPr="004A774C" w:rsidRDefault="006562E6" w:rsidP="00F95A47">
            <w:pPr>
              <w:pStyle w:val="ITRCTableText"/>
            </w:pPr>
            <w:r>
              <w:fldChar w:fldCharType="begin"/>
            </w:r>
            <w:r>
              <w:instrText xml:space="preserve"> ADDIN ZOTERO_ITEM CSL_CITATION {"citationID":"ZF9HkUIO","properties":{"formattedCitation":"(J. Fang et al. 2024)","plainCitation":"(J. Fang et al. 2024)","noteIndex":0},"citationItems":[{"id":1122,"uris":["http://zotero.org/groups/4911552/items/2L4QI2CG"],"itemData":{"id":1122,"type":"article-journal","abstract":"The emerging toxicant N-(1,3-dimethylbutyl)-N′-phenyl-p-phenylenediamine quinone (6PPD-Q) is of wide concern due to its ubiquitous occurrence and high toxicity. Despite regular human exposure, limited evidence exists about its presence in the body and potential health risks. Herein, we analyzed cerebrospinal fluid (CSF) samples from Parkinson's disease (PD) patients and controls. The CSF levels of 6PPD-Q were twice as high in PD patients compared to controls. Immunostaining assays performed with primary dopaminergic neurons confirm that 6PPD-Q at environmentally relevant concentrations can exacerbate the formation of Lewy neurites induced by α-synuclein preformed fibrils (α-syn PFF). Assessment of cellular respiration reveals a considerable decrease in neuronal spare respiratory and ATP-linked respiration, potentially due to changes in mitochondrial membrane potential. Moreover, 6PPD-Q-induced mitochondrial impairment correlates with an upsurge in mitochondrial reactive oxygen species (mROS), and Mito-TEMPO-driven scavenging of mROS can lessen the amount of pathologic phospho-serine 129 α-synuclein. Untargeted metabolomics provides supporting evidence for the connection between 6PPD-Q exposure and changes in neuronal metabolite profiles. In-depth targeted metabolomics further unveils an overall reduction in glycolysis metabolite pool and fluctuations in the quantity of TCA cycle intermediates. Given its potentially harmful attributes, the presence of 6PPD-Q in human brain could potentially be a risk factor for PD.","container-title":"Journal of Hazardous Materials","DOI":"10.1016/j.jhazmat.2023.133312","ISSN":"0304-3894","journalAbbreviation":"Journal of Hazardous Materials","page":"133312","source":"ScienceDirect","title":"6PPD-quinone exposure induces neuronal mitochondrial dysfunction to exacerbate Lewy neurites formation induced by α-synuclein preformed fibrils seeding","volume":"465","author":[{"family":"Fang","given":"Jiacheng"},{"family":"Wang","given":"Xiaoxiao"},{"family":"Cao","given":"Guodong"},{"family":"Wang","given":"Fuyue"},{"family":"Ru","given":"Yi"},{"family":"Wang","given":"Bolun"},{"family":"Zhang","given":"Yanhao"},{"family":"Zhang","given":"Doudou"},{"family":"Yan","given":"Jie"},{"family":"Xu","given":"Ji"},{"family":"Ji","given":"Jing"},{"family":"Ji","given":"Fenfen"},{"family":"Zhou","given":"Yingyan"},{"family":"Guo","given":"Lei"},{"family":"Li","given":"Min"},{"family":"Liu","given":"Wenlan"},{"family":"Cai","given":"Xiaodong"},{"family":"Cai","given":"Zongwei"}],"issued":{"date-parts":[["2024",3,5]]}}}],"schema":"https://github.com/citation-style-language/schema/raw/master/csl-citation.json"} </w:instrText>
            </w:r>
            <w:r>
              <w:fldChar w:fldCharType="separate"/>
            </w:r>
            <w:r w:rsidRPr="002B1797">
              <w:t>(J. Fang et al. 2024)</w:t>
            </w:r>
            <w:r>
              <w:fldChar w:fldCharType="end"/>
            </w:r>
            <w:r>
              <w:br/>
            </w:r>
            <w:hyperlink r:id="rId34" w:history="1">
              <w:r w:rsidR="00590F73" w:rsidRPr="00E57172">
                <w:rPr>
                  <w:rStyle w:val="Hyperlink"/>
                </w:rPr>
                <w:t>https://doi.org/10.1016/j.jhazmat.2023.133312</w:t>
              </w:r>
            </w:hyperlink>
            <w:r w:rsidR="00590F73" w:rsidRPr="004A774C">
              <w:t>.</w:t>
            </w:r>
          </w:p>
        </w:tc>
      </w:tr>
      <w:tr w:rsidR="003A095B" w:rsidRPr="004A774C" w14:paraId="413B54BB"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B15A809" w14:textId="77777777" w:rsidR="003A095B" w:rsidRPr="004A774C" w:rsidRDefault="003A095B" w:rsidP="000F7882">
            <w:pPr>
              <w:pStyle w:val="ITRCTableTextCentered"/>
            </w:pPr>
            <w:r w:rsidRPr="004A774C">
              <w:t>6PPD-q</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14:paraId="48DC2D2C" w14:textId="77777777" w:rsidR="003A095B" w:rsidRPr="004A774C" w:rsidRDefault="003A095B" w:rsidP="000F7882">
            <w:pPr>
              <w:pStyle w:val="ITRCTableTextCentered"/>
            </w:pPr>
            <w:r w:rsidRPr="004A774C">
              <w:t xml:space="preserve">Reproductive </w:t>
            </w:r>
            <w:r>
              <w:t>t</w:t>
            </w:r>
            <w:r w:rsidRPr="004A774C">
              <w:t>oxicity</w:t>
            </w:r>
          </w:p>
        </w:tc>
        <w:tc>
          <w:tcPr>
            <w:tcW w:w="4230" w:type="dxa"/>
            <w:tcBorders>
              <w:top w:val="nil"/>
              <w:left w:val="nil"/>
              <w:bottom w:val="single" w:sz="4" w:space="0" w:color="auto"/>
              <w:right w:val="single" w:sz="4" w:space="0" w:color="auto"/>
            </w:tcBorders>
            <w:shd w:val="clear" w:color="auto" w:fill="DBE5F1" w:themeFill="accent1" w:themeFillTint="33"/>
            <w:vAlign w:val="center"/>
            <w:hideMark/>
          </w:tcPr>
          <w:p w14:paraId="41BDCAE6" w14:textId="77777777" w:rsidR="003A095B" w:rsidRPr="004A774C" w:rsidRDefault="003A095B" w:rsidP="000F7882">
            <w:pPr>
              <w:pStyle w:val="ITRCTableText"/>
            </w:pPr>
            <w:r w:rsidRPr="004A774C">
              <w:t>L1-larval nematodes were exposed to environmentally relevant concentrations of 0.1, 1 and 10</w:t>
            </w:r>
            <w:r>
              <w:t> µg/L</w:t>
            </w:r>
            <w:r w:rsidRPr="004A774C">
              <w:t xml:space="preserve"> 6PPD-q for 4.5</w:t>
            </w:r>
            <w:r>
              <w:t> </w:t>
            </w:r>
            <w:r w:rsidRPr="004A774C">
              <w:t>days (until development of adult day-1) to assess long-term exposure.</w:t>
            </w:r>
          </w:p>
        </w:tc>
        <w:tc>
          <w:tcPr>
            <w:tcW w:w="2340" w:type="dxa"/>
            <w:tcBorders>
              <w:top w:val="nil"/>
              <w:left w:val="nil"/>
              <w:bottom w:val="single" w:sz="4" w:space="0" w:color="auto"/>
              <w:right w:val="single" w:sz="4" w:space="0" w:color="auto"/>
            </w:tcBorders>
            <w:shd w:val="clear" w:color="auto" w:fill="DBE5F1" w:themeFill="accent1" w:themeFillTint="33"/>
            <w:vAlign w:val="center"/>
            <w:hideMark/>
          </w:tcPr>
          <w:p w14:paraId="291DB232" w14:textId="77777777" w:rsidR="003A095B" w:rsidRPr="004A774C" w:rsidRDefault="003A095B" w:rsidP="000F7882">
            <w:pPr>
              <w:pStyle w:val="ITRCTableText"/>
            </w:pPr>
            <w:r w:rsidRPr="004A774C">
              <w:rPr>
                <w:i/>
                <w:iCs/>
              </w:rPr>
              <w:t>C. elegans</w:t>
            </w:r>
            <w:r w:rsidRPr="004A774C">
              <w:t>: Wild-Type N2 and transgenic strain WS1433 (30 nematodes per treatment)</w:t>
            </w:r>
          </w:p>
        </w:tc>
        <w:tc>
          <w:tcPr>
            <w:tcW w:w="9270" w:type="dxa"/>
            <w:tcBorders>
              <w:top w:val="nil"/>
              <w:left w:val="nil"/>
              <w:bottom w:val="single" w:sz="4" w:space="0" w:color="auto"/>
              <w:right w:val="single" w:sz="4" w:space="0" w:color="auto"/>
            </w:tcBorders>
            <w:shd w:val="clear" w:color="auto" w:fill="DBE5F1" w:themeFill="accent1" w:themeFillTint="33"/>
            <w:vAlign w:val="center"/>
            <w:hideMark/>
          </w:tcPr>
          <w:p w14:paraId="7349FD6E" w14:textId="77777777" w:rsidR="003A095B" w:rsidRDefault="003A095B" w:rsidP="000F7882">
            <w:pPr>
              <w:pStyle w:val="ITRCTableText"/>
            </w:pPr>
            <w:r w:rsidRPr="004A774C">
              <w:t xml:space="preserve">Reproductive capacity: Exposure to 1 </w:t>
            </w:r>
            <w:r w:rsidRPr="00F95A47">
              <w:t>and 10</w:t>
            </w:r>
            <w:r>
              <w:t> µg/L</w:t>
            </w:r>
            <w:r w:rsidRPr="00F95A47">
              <w:t xml:space="preserve"> 6PPD-q sign</w:t>
            </w:r>
            <w:r>
              <w:t>i</w:t>
            </w:r>
            <w:r w:rsidRPr="00F95A47">
              <w:t>ficantly decreased both the number of fertilized eggs in the gonad</w:t>
            </w:r>
            <w:r w:rsidRPr="004A774C">
              <w:t xml:space="preserve"> and the number of hatched eggs.</w:t>
            </w:r>
          </w:p>
          <w:p w14:paraId="788C59EC" w14:textId="77777777" w:rsidR="003A095B" w:rsidRDefault="003A095B" w:rsidP="000F7882">
            <w:pPr>
              <w:pStyle w:val="ITRCTableText"/>
            </w:pPr>
            <w:r w:rsidRPr="004A774C">
              <w:br w:type="page"/>
            </w:r>
            <w:r w:rsidRPr="004A774C">
              <w:br w:type="page"/>
              <w:t>Gonad development: At concentrations of 1</w:t>
            </w:r>
            <w:r>
              <w:t> µg/L</w:t>
            </w:r>
            <w:r w:rsidRPr="004A774C">
              <w:t xml:space="preserve"> 6PPD-q the number of mitotic cells per gonad and area of gonad arm were sign</w:t>
            </w:r>
            <w:r>
              <w:t>i</w:t>
            </w:r>
            <w:r w:rsidRPr="004A774C">
              <w:t>ficantly decreased. At concentrations of 10</w:t>
            </w:r>
            <w:r>
              <w:t> µg/L</w:t>
            </w:r>
            <w:r w:rsidRPr="004A774C">
              <w:t xml:space="preserve"> 6PPD-q the number of mitotic cells per gonad, length of gonad arm</w:t>
            </w:r>
            <w:r>
              <w:t>,</w:t>
            </w:r>
            <w:r w:rsidRPr="004A774C">
              <w:t xml:space="preserve"> and area of gonad arm were sign</w:t>
            </w:r>
            <w:r>
              <w:t>i</w:t>
            </w:r>
            <w:r w:rsidRPr="004A774C">
              <w:t>ficantly reduced. The study authors concluded that these results ind</w:t>
            </w:r>
            <w:r>
              <w:t>i</w:t>
            </w:r>
            <w:r w:rsidRPr="004A774C">
              <w:t xml:space="preserve">cated that 6PPD-q exposure caused impairments on gonad development in </w:t>
            </w:r>
            <w:r w:rsidRPr="004A774C">
              <w:rPr>
                <w:i/>
                <w:iCs/>
              </w:rPr>
              <w:t>C. elegans</w:t>
            </w:r>
            <w:r w:rsidRPr="004A774C">
              <w:t>.</w:t>
            </w:r>
            <w:r w:rsidRPr="004A774C">
              <w:br w:type="page"/>
            </w:r>
            <w:r w:rsidRPr="004A774C">
              <w:br w:type="page"/>
            </w:r>
          </w:p>
          <w:p w14:paraId="3B62A167" w14:textId="77777777" w:rsidR="003A095B" w:rsidRDefault="003A095B" w:rsidP="000F7882">
            <w:pPr>
              <w:pStyle w:val="ITRCTableText"/>
            </w:pPr>
            <w:r w:rsidRPr="004A774C">
              <w:t>Germline apoptosis: Exposure to 1 and 10</w:t>
            </w:r>
            <w:r>
              <w:t> µg/L</w:t>
            </w:r>
            <w:r w:rsidRPr="004A774C">
              <w:t xml:space="preserve"> 6PPD-q sign</w:t>
            </w:r>
            <w:r>
              <w:t>i</w:t>
            </w:r>
            <w:r w:rsidRPr="004A774C">
              <w:t xml:space="preserve">ficantly increased the induction of germline apoptosis compared to the control. Expressions of </w:t>
            </w:r>
            <w:r w:rsidRPr="004A774C">
              <w:rPr>
                <w:i/>
                <w:iCs/>
              </w:rPr>
              <w:t>ced-3</w:t>
            </w:r>
            <w:r w:rsidRPr="004A774C">
              <w:t xml:space="preserve">, </w:t>
            </w:r>
            <w:r w:rsidRPr="004A774C">
              <w:rPr>
                <w:i/>
                <w:iCs/>
              </w:rPr>
              <w:t>ced-4</w:t>
            </w:r>
            <w:r w:rsidRPr="004A774C">
              <w:t xml:space="preserve"> and </w:t>
            </w:r>
            <w:r w:rsidRPr="004A774C">
              <w:rPr>
                <w:i/>
                <w:iCs/>
              </w:rPr>
              <w:t>egl-1</w:t>
            </w:r>
            <w:r w:rsidRPr="004A774C">
              <w:t xml:space="preserve"> were also significantly increased</w:t>
            </w:r>
            <w:r>
              <w:t>, w</w:t>
            </w:r>
            <w:r w:rsidRPr="004A774C">
              <w:t xml:space="preserve">hile </w:t>
            </w:r>
            <w:r w:rsidRPr="004A774C">
              <w:rPr>
                <w:i/>
                <w:iCs/>
              </w:rPr>
              <w:t>ced-9</w:t>
            </w:r>
            <w:r w:rsidRPr="004A774C">
              <w:t xml:space="preserve"> expression was significantly decreased. </w:t>
            </w:r>
            <w:r w:rsidRPr="004A774C">
              <w:br w:type="page"/>
            </w:r>
            <w:r w:rsidRPr="004A774C">
              <w:br w:type="page"/>
            </w:r>
          </w:p>
          <w:p w14:paraId="51D6D132" w14:textId="77777777" w:rsidR="003A095B" w:rsidRPr="004A774C" w:rsidRDefault="003A095B" w:rsidP="000F7882">
            <w:pPr>
              <w:pStyle w:val="ITRCTableText"/>
            </w:pPr>
            <w:r w:rsidRPr="004A774C">
              <w:t>Germline DNA damage: Indication of germline DNA damage was also enhanced. Exposure to 1 and 10</w:t>
            </w:r>
            <w:r>
              <w:t> µg/L</w:t>
            </w:r>
            <w:r w:rsidRPr="004A774C">
              <w:t xml:space="preserve"> 6PPD-q caused significant increase in the expression of DNA-damage checkpoints genes </w:t>
            </w:r>
            <w:r w:rsidRPr="004A774C">
              <w:rPr>
                <w:i/>
                <w:iCs/>
              </w:rPr>
              <w:t>clk-2</w:t>
            </w:r>
            <w:r w:rsidRPr="004A774C">
              <w:t xml:space="preserve">, </w:t>
            </w:r>
            <w:r w:rsidRPr="004A774C">
              <w:rPr>
                <w:i/>
                <w:iCs/>
              </w:rPr>
              <w:t>hus-1</w:t>
            </w:r>
            <w:r w:rsidRPr="004A774C">
              <w:t xml:space="preserve"> and </w:t>
            </w:r>
            <w:r w:rsidRPr="004A774C">
              <w:rPr>
                <w:i/>
                <w:iCs/>
              </w:rPr>
              <w:t>mrt-2</w:t>
            </w:r>
            <w:r w:rsidRPr="004A774C">
              <w:t xml:space="preserve"> and an increase in expression of </w:t>
            </w:r>
            <w:r w:rsidRPr="004A774C">
              <w:rPr>
                <w:i/>
                <w:iCs/>
              </w:rPr>
              <w:t>ced-1</w:t>
            </w:r>
            <w:r w:rsidRPr="004A774C">
              <w:t xml:space="preserve"> and </w:t>
            </w:r>
            <w:r w:rsidRPr="004A774C">
              <w:rPr>
                <w:i/>
                <w:iCs/>
              </w:rPr>
              <w:t>ced-6</w:t>
            </w:r>
            <w:r w:rsidRPr="004A774C">
              <w:t xml:space="preserve">, which govern </w:t>
            </w:r>
            <w:r>
              <w:t xml:space="preserve">the </w:t>
            </w:r>
            <w:r w:rsidRPr="004A774C">
              <w:t>cell corpse engulfment process.</w:t>
            </w:r>
          </w:p>
        </w:tc>
        <w:tc>
          <w:tcPr>
            <w:tcW w:w="3240" w:type="dxa"/>
            <w:tcBorders>
              <w:top w:val="nil"/>
              <w:left w:val="nil"/>
              <w:bottom w:val="single" w:sz="4" w:space="0" w:color="auto"/>
              <w:right w:val="single" w:sz="4" w:space="0" w:color="auto"/>
            </w:tcBorders>
            <w:shd w:val="clear" w:color="auto" w:fill="DBE5F1" w:themeFill="accent1" w:themeFillTint="33"/>
            <w:hideMark/>
          </w:tcPr>
          <w:p w14:paraId="392450C4" w14:textId="77777777" w:rsidR="003A095B" w:rsidRPr="004A774C" w:rsidRDefault="003A095B" w:rsidP="000F7882">
            <w:pPr>
              <w:pStyle w:val="ITRCTableText"/>
            </w:pPr>
            <w:r>
              <w:fldChar w:fldCharType="begin"/>
            </w:r>
            <w:r>
              <w:instrText xml:space="preserve"> ADDIN ZOTERO_ITEM CSL_CITATION {"citationID":"YcGGaW6c","properties":{"formattedCitation":"(Hua et al. 2023)","plainCitation":"(Hua et al. 2023)","noteIndex":0},"citationItems":[{"id":1036,"uris":["http://zotero.org/groups/4911552/items/RJ86H9T3"],"itemData":{"id":1036,"type":"article-journal","abstract":"Recently, 6-PPD quinone (6-PPDQ), a derivative of tire antioxidant 6-PPD, was reported to have acute toxicity for organisms. However, the possible reproductive toxicity of 6-PPDQ is still largely unclear. In this study, the reproductive toxicity of 6-PPDQ after long-term exposure was further investigated in Caenorhabditis elegans. Exposure to 1 and 10 μg/L 6-PPDQ reduced the reproductive capacity. Meanwhile, exposure to 1 and 10 μg/L 6-PPDQ enhanced the germline apoptosis, which was accompanied by upregulation of ced-3, ced-4, and egl-1 expressions and downregulation of ced-9 expression. The observed increase in germline apoptosis in 1 and 10 μg/L 6-PPDQ exposed nematodes was associated with the enhancement in DNA damage and increase in expressions of related genes of cep-1, clk-2, hus-1, and mrt-2. The detected enhancement in germline apoptosis in 1 and 10 μg/L 6-PPDQ exposed nematodes was further associated with the increase in expressions of ced-1 and ced-6 governing the cell corpse engulfment process. Molecular docking analysis indicated the binding potentials of 6-PPDQ with three DNA damage checkpoints (CLK-2, HUS-1, and MRT-2) and corpse-recognizing phagocytic receptor CED-1. Therefore, our data suggested the toxicity on reproductive capacity by 6-PPDQ at environmentally relevant concentrations by enhancing DNA damage- and cell corpse engulfment-induced germline apoptosis in organisms.","container-title":"Journal of Hazardous Materials","DOI":"10.1016/j.jhazmat.2023.131495","ISSN":"0304-3894","journalAbbreviation":"Journal of Hazardous Materials","language":"en","page":"131495","source":"ScienceDirect","title":"Long-term exposure to 6-PPD quinone reduces reproductive capacity by enhancing germline apoptosis associated with activation of both DNA damage and cell corpse engulfment in &lt;i&gt;&lt;span class=\"nocase\"&gt;Caenorhabditis elegans&lt;/span&gt;&lt;/i&gt;","volume":"454","author":[{"family":"Hua","given":"Xin"},{"family":"Feng","given":"Xiao"},{"family":"Liang","given":"Geyu"},{"family":"Chao","given":"Jie"},{"family":"Wang","given":"Dayong"}],"issued":{"date-parts":[["2023",7,15]]}},"label":"page"}],"schema":"https://github.com/citation-style-language/schema/raw/master/csl-citation.json"} </w:instrText>
            </w:r>
            <w:r>
              <w:fldChar w:fldCharType="separate"/>
            </w:r>
            <w:r w:rsidRPr="005D52FF">
              <w:t>(Hua et al. 2023)</w:t>
            </w:r>
            <w:r>
              <w:fldChar w:fldCharType="end"/>
            </w:r>
            <w:r>
              <w:br/>
            </w:r>
            <w:hyperlink r:id="rId35" w:history="1">
              <w:r w:rsidRPr="00E57172">
                <w:rPr>
                  <w:rStyle w:val="Hyperlink"/>
                </w:rPr>
                <w:t>https://doi.org/10.1016/j.jhazmat.2023.131495</w:t>
              </w:r>
            </w:hyperlink>
            <w:r w:rsidRPr="004A774C">
              <w:t>.</w:t>
            </w:r>
          </w:p>
        </w:tc>
      </w:tr>
      <w:tr w:rsidR="00E6444E" w:rsidRPr="004A774C" w14:paraId="15133BDD"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589CBDF" w14:textId="77777777" w:rsidR="00590F73" w:rsidRPr="004A774C" w:rsidRDefault="00590F73" w:rsidP="00F95A47">
            <w:pPr>
              <w:pStyle w:val="ITRCTableTextCentered"/>
            </w:pPr>
            <w:r w:rsidRPr="004A774C">
              <w:lastRenderedPageBreak/>
              <w:t>6PPD-q</w:t>
            </w:r>
          </w:p>
        </w:tc>
        <w:tc>
          <w:tcPr>
            <w:tcW w:w="1440" w:type="dxa"/>
            <w:tcBorders>
              <w:top w:val="nil"/>
              <w:left w:val="nil"/>
              <w:bottom w:val="single" w:sz="4" w:space="0" w:color="auto"/>
              <w:right w:val="single" w:sz="4" w:space="0" w:color="auto"/>
            </w:tcBorders>
            <w:shd w:val="clear" w:color="auto" w:fill="DBE5F1" w:themeFill="accent1" w:themeFillTint="33"/>
            <w:noWrap/>
            <w:vAlign w:val="center"/>
            <w:hideMark/>
          </w:tcPr>
          <w:p w14:paraId="725F1801" w14:textId="77777777" w:rsidR="00590F73" w:rsidRPr="004A774C" w:rsidRDefault="00590F73" w:rsidP="00F95A47">
            <w:pPr>
              <w:pStyle w:val="ITRCTableTextCentered"/>
            </w:pPr>
            <w:r w:rsidRPr="004A774C">
              <w:t>ADME</w:t>
            </w:r>
          </w:p>
        </w:tc>
        <w:tc>
          <w:tcPr>
            <w:tcW w:w="4230" w:type="dxa"/>
            <w:tcBorders>
              <w:top w:val="nil"/>
              <w:left w:val="nil"/>
              <w:bottom w:val="single" w:sz="4" w:space="0" w:color="auto"/>
              <w:right w:val="single" w:sz="4" w:space="0" w:color="auto"/>
            </w:tcBorders>
            <w:shd w:val="clear" w:color="auto" w:fill="DBE5F1" w:themeFill="accent1" w:themeFillTint="33"/>
            <w:vAlign w:val="center"/>
            <w:hideMark/>
          </w:tcPr>
          <w:p w14:paraId="4528D114" w14:textId="22AB1C1E" w:rsidR="00590F73" w:rsidRPr="004A774C" w:rsidRDefault="00590F73" w:rsidP="00F95A47">
            <w:pPr>
              <w:pStyle w:val="ITRCTableText"/>
            </w:pPr>
            <w:r w:rsidRPr="004A774C">
              <w:t>Mice were fed with a single human-relevant dose (400</w:t>
            </w:r>
            <w:r>
              <w:t> </w:t>
            </w:r>
            <w:proofErr w:type="spellStart"/>
            <w:r>
              <w:t>μg</w:t>
            </w:r>
            <w:proofErr w:type="spellEnd"/>
            <w:r>
              <w:t>/kg</w:t>
            </w:r>
            <w:r w:rsidRPr="004A774C">
              <w:t xml:space="preserve">) of deuterated </w:t>
            </w:r>
            <w:r w:rsidR="00E74BA5">
              <w:t>D5</w:t>
            </w:r>
            <w:r w:rsidR="00E74BA5">
              <w:noBreakHyphen/>
            </w:r>
            <w:r w:rsidRPr="004A774C">
              <w:t>6PPD-q dissolved in corn oil by gavage.</w:t>
            </w:r>
          </w:p>
        </w:tc>
        <w:tc>
          <w:tcPr>
            <w:tcW w:w="2340" w:type="dxa"/>
            <w:tcBorders>
              <w:top w:val="nil"/>
              <w:left w:val="nil"/>
              <w:bottom w:val="single" w:sz="4" w:space="0" w:color="auto"/>
              <w:right w:val="single" w:sz="4" w:space="0" w:color="auto"/>
            </w:tcBorders>
            <w:shd w:val="clear" w:color="auto" w:fill="DBE5F1" w:themeFill="accent1" w:themeFillTint="33"/>
            <w:vAlign w:val="center"/>
            <w:hideMark/>
          </w:tcPr>
          <w:p w14:paraId="2E2B90B4" w14:textId="75CF019F" w:rsidR="00590F73" w:rsidRDefault="00590F73" w:rsidP="00F95A47">
            <w:pPr>
              <w:pStyle w:val="ITRCTableText"/>
            </w:pPr>
            <w:r w:rsidRPr="004A774C">
              <w:t>To determine a human-relevant dose, human serum samples were collected from 30 healthy volunteers. Participants were selected randomly from the general population without any occupational exposure to 6PPD-q or other rubber chemicals. In total, 30 volunteers, of which 12 were males and 18</w:t>
            </w:r>
            <w:r>
              <w:t xml:space="preserve"> were</w:t>
            </w:r>
            <w:r w:rsidRPr="004A774C">
              <w:t xml:space="preserve"> females (mean age 40.5 years, age range 23</w:t>
            </w:r>
            <w:r>
              <w:t>–</w:t>
            </w:r>
            <w:r w:rsidRPr="004A774C">
              <w:t>66 years), were sampled.</w:t>
            </w:r>
          </w:p>
          <w:p w14:paraId="49E9C9B3" w14:textId="28D16A1A" w:rsidR="00590F73" w:rsidRPr="004A774C" w:rsidRDefault="00590F73" w:rsidP="00F95A47">
            <w:pPr>
              <w:pStyle w:val="ITRCTableText"/>
            </w:pPr>
            <w:r w:rsidRPr="004A774C">
              <w:t>Adult male and female ICR mice (7–8 weeks old) (n=4 for each sex)</w:t>
            </w:r>
            <w:r>
              <w:t>.</w:t>
            </w:r>
          </w:p>
        </w:tc>
        <w:tc>
          <w:tcPr>
            <w:tcW w:w="9270" w:type="dxa"/>
            <w:tcBorders>
              <w:top w:val="nil"/>
              <w:left w:val="nil"/>
              <w:bottom w:val="single" w:sz="4" w:space="0" w:color="auto"/>
              <w:right w:val="single" w:sz="4" w:space="0" w:color="auto"/>
            </w:tcBorders>
            <w:shd w:val="clear" w:color="auto" w:fill="DBE5F1" w:themeFill="accent1" w:themeFillTint="33"/>
            <w:vAlign w:val="center"/>
            <w:hideMark/>
          </w:tcPr>
          <w:p w14:paraId="1439B7F5" w14:textId="781D2C99" w:rsidR="00590F73" w:rsidRDefault="00590F73" w:rsidP="00F95A47">
            <w:pPr>
              <w:pStyle w:val="ITRCTableText"/>
            </w:pPr>
            <w:r w:rsidRPr="004A774C">
              <w:t>In human serum, 6PPD-q was found at concentrations ranging from 0.11 to 0.43</w:t>
            </w:r>
            <w:r>
              <w:t> ng/mL</w:t>
            </w:r>
            <w:r w:rsidRPr="004A774C">
              <w:t xml:space="preserve"> (mean: 0.21</w:t>
            </w:r>
            <w:r>
              <w:t> ng/mL</w:t>
            </w:r>
            <w:r w:rsidRPr="004A774C">
              <w:t>, median: 0.24</w:t>
            </w:r>
            <w:r>
              <w:t> ng/mL</w:t>
            </w:r>
            <w:r w:rsidRPr="004A774C">
              <w:t>)</w:t>
            </w:r>
            <w:r>
              <w:t>,</w:t>
            </w:r>
            <w:r w:rsidRPr="004A774C">
              <w:t xml:space="preserve"> which was </w:t>
            </w:r>
            <w:proofErr w:type="gramStart"/>
            <w:r w:rsidRPr="004A774C">
              <w:t xml:space="preserve">similar </w:t>
            </w:r>
            <w:r>
              <w:t>to</w:t>
            </w:r>
            <w:proofErr w:type="gramEnd"/>
            <w:r w:rsidRPr="004A774C">
              <w:t xml:space="preserve"> concentrations measured in adult urine (median: 0.4</w:t>
            </w:r>
            <w:r>
              <w:t> ng/mL</w:t>
            </w:r>
            <w:r w:rsidRPr="004A774C">
              <w:t xml:space="preserve">, </w:t>
            </w:r>
            <w:r w:rsidR="00BC7E35">
              <w:t>geometric mean</w:t>
            </w:r>
            <w:r w:rsidRPr="004A774C">
              <w:t>: 0.43</w:t>
            </w:r>
            <w:r>
              <w:t> ng/mL</w:t>
            </w:r>
            <w:r w:rsidRPr="004A774C">
              <w:t>) as reported by Du et al</w:t>
            </w:r>
            <w:r>
              <w:t>.</w:t>
            </w:r>
            <w:r w:rsidRPr="004A774C">
              <w:t xml:space="preserve"> 2022.</w:t>
            </w:r>
          </w:p>
          <w:p w14:paraId="3FEBFFFE" w14:textId="37FDDCEF" w:rsidR="00590F73" w:rsidRDefault="00590F73" w:rsidP="00F95A47">
            <w:pPr>
              <w:pStyle w:val="ITRCTableText"/>
            </w:pPr>
            <w:r w:rsidRPr="004A774C">
              <w:t>6PPD-q was found to be primarily distributed in the adipose tissue of mice (110.5</w:t>
            </w:r>
            <w:r>
              <w:t> ± </w:t>
            </w:r>
            <w:r w:rsidRPr="004A774C">
              <w:t>13.3 ng/g) followed by the kidney, lung, testis, liver, spleen, heart, and muscle. 6PPD-q was also demonstrated to penetrate the blood</w:t>
            </w:r>
            <w:r w:rsidRPr="009E4DD1">
              <w:t>–</w:t>
            </w:r>
            <w:r w:rsidRPr="004A774C">
              <w:t>brain barrier of mice within 0.5</w:t>
            </w:r>
            <w:r>
              <w:t> </w:t>
            </w:r>
            <w:r w:rsidRPr="004A774C">
              <w:t>h after exposure.</w:t>
            </w:r>
          </w:p>
          <w:p w14:paraId="3178B7DF" w14:textId="5793DD07" w:rsidR="00590F73" w:rsidRDefault="00590F73" w:rsidP="00F95A47">
            <w:pPr>
              <w:pStyle w:val="ITRCTableText"/>
            </w:pPr>
            <w:r w:rsidRPr="004A774C">
              <w:t>Rapid elimination of 6PPD-q in the liver was observed with a half-life (t</w:t>
            </w:r>
            <w:r w:rsidRPr="004A774C">
              <w:rPr>
                <w:vertAlign w:val="subscript"/>
              </w:rPr>
              <w:t>1/2</w:t>
            </w:r>
            <w:r w:rsidRPr="004A774C">
              <w:t>) of 6.7</w:t>
            </w:r>
            <w:r>
              <w:t> ± </w:t>
            </w:r>
            <w:r w:rsidRPr="004A774C">
              <w:t>0.6</w:t>
            </w:r>
            <w:r>
              <w:t> </w:t>
            </w:r>
            <w:r w:rsidRPr="004A774C">
              <w:t>h. Half-lives of 6PPD-q in serum, lung, kidney, and spleen of mice were slower, measured at 12.7</w:t>
            </w:r>
            <w:r>
              <w:t> ± </w:t>
            </w:r>
            <w:r w:rsidRPr="004A774C">
              <w:t>0.3</w:t>
            </w:r>
            <w:r>
              <w:t> </w:t>
            </w:r>
            <w:r w:rsidRPr="004A774C">
              <w:t>h, 20.7</w:t>
            </w:r>
            <w:r>
              <w:t> ± </w:t>
            </w:r>
            <w:r w:rsidRPr="004A774C">
              <w:t>1.4</w:t>
            </w:r>
            <w:r>
              <w:t> </w:t>
            </w:r>
            <w:r w:rsidRPr="004A774C">
              <w:t>h, 21.6</w:t>
            </w:r>
            <w:r>
              <w:t> ± </w:t>
            </w:r>
            <w:r w:rsidRPr="004A774C">
              <w:t>5.3</w:t>
            </w:r>
            <w:r>
              <w:t> </w:t>
            </w:r>
            <w:r w:rsidRPr="004A774C">
              <w:t>h, and 20.6</w:t>
            </w:r>
            <w:r>
              <w:t> ± </w:t>
            </w:r>
            <w:r w:rsidRPr="004A774C">
              <w:t>2.8</w:t>
            </w:r>
            <w:r>
              <w:t> </w:t>
            </w:r>
            <w:r w:rsidRPr="004A774C">
              <w:t>h, respectively.</w:t>
            </w:r>
          </w:p>
          <w:p w14:paraId="3E8E67A9" w14:textId="2D85D22C" w:rsidR="00590F73" w:rsidRDefault="00590F73" w:rsidP="00F95A47">
            <w:pPr>
              <w:pStyle w:val="ITRCTableText"/>
            </w:pPr>
            <w:r w:rsidRPr="004A774C">
              <w:t>Possible metabolites of 6PPD-q were screened in mice liver using stable isotope-assisted high</w:t>
            </w:r>
            <w:r>
              <w:t>-</w:t>
            </w:r>
            <w:r w:rsidRPr="004A774C">
              <w:t>resolution mass spect</w:t>
            </w:r>
            <w:r>
              <w:t>r</w:t>
            </w:r>
            <w:r w:rsidRPr="004A774C">
              <w:t>ometry. Two novel hydroxylated metabolites (</w:t>
            </w:r>
            <w:r w:rsidR="003E154D">
              <w:t>D5</w:t>
            </w:r>
            <w:r w:rsidR="00EA0D7A">
              <w:noBreakHyphen/>
            </w:r>
            <w:r w:rsidRPr="004A774C">
              <w:t xml:space="preserve">6PPD-q-OH and </w:t>
            </w:r>
            <w:r w:rsidR="00EA0D7A">
              <w:t>D5</w:t>
            </w:r>
            <w:r w:rsidR="00EA0D7A">
              <w:noBreakHyphen/>
            </w:r>
            <w:r w:rsidRPr="004A774C">
              <w:t>6PPD-q</w:t>
            </w:r>
            <w:r w:rsidR="00EA0D7A">
              <w:noBreakHyphen/>
            </w:r>
            <w:r w:rsidRPr="004A774C">
              <w:t>2OH) were identified.</w:t>
            </w:r>
          </w:p>
          <w:p w14:paraId="28EBC546" w14:textId="5EBB2FA6" w:rsidR="00590F73" w:rsidRPr="004A774C" w:rsidRDefault="00590F73" w:rsidP="00F95A47">
            <w:pPr>
              <w:pStyle w:val="ITRCTableText"/>
            </w:pPr>
            <w:r w:rsidRPr="004A774C">
              <w:t>Fecal excretion as compared to urinary excretion was the main excretory pathway for 6PPD-q (35.1</w:t>
            </w:r>
            <w:r>
              <w:t> ± </w:t>
            </w:r>
            <w:r w:rsidRPr="004A774C">
              <w:t>1.9% of the initial dose at one week after administration) and its hydroxylated metabolites</w:t>
            </w:r>
            <w:r>
              <w:t>.</w:t>
            </w:r>
          </w:p>
        </w:tc>
        <w:tc>
          <w:tcPr>
            <w:tcW w:w="3240" w:type="dxa"/>
            <w:tcBorders>
              <w:top w:val="nil"/>
              <w:left w:val="nil"/>
              <w:bottom w:val="single" w:sz="4" w:space="0" w:color="auto"/>
              <w:right w:val="single" w:sz="4" w:space="0" w:color="auto"/>
            </w:tcBorders>
            <w:shd w:val="clear" w:color="auto" w:fill="DBE5F1" w:themeFill="accent1" w:themeFillTint="33"/>
            <w:hideMark/>
          </w:tcPr>
          <w:p w14:paraId="77FBE1D2" w14:textId="4E83BF43" w:rsidR="00590F73" w:rsidRPr="004A774C" w:rsidRDefault="001826B2" w:rsidP="00F95A47">
            <w:pPr>
              <w:pStyle w:val="ITRCTableText"/>
            </w:pPr>
            <w:r>
              <w:fldChar w:fldCharType="begin"/>
            </w:r>
            <w:r>
              <w:instrText xml:space="preserve"> ADDIN ZOTERO_ITEM CSL_CITATION {"citationID":"EFL2f8w7","properties":{"formattedCitation":"(Zhang et al. 2024)","plainCitation":"(Zhang et al. 2024)","noteIndex":0},"citationItems":[{"id":1786,"uris":["http://zotero.org/groups/4911552/items/BZQEGEXI"],"itemData":{"id":1786,"type":"article-journal","abstract":"6PPD-quinone (6PPD-Q) has been identified as a ubiquitous contaminant in the surrounding locality, including air particles, roadside soils, dust, and water. Recently, the prevalence of 6PPD-Q in human urine has accentuated the urgency for investigating its biological fate. To address this, we conducted a stable isotope-assisted high-resolution mass spectrometry (HRMS) assay to unveil the distribution, metabolism, excretion, and toxicokinetic properties of this contaminant in a mouse model. Mice were fed with a single dose of deuterated 6PPD-Q-d5 at human-relevant exposure levels. Results indicated that 6PPD-Q was quickly assimilated and distributed into bloodstream and main organs of mice, with the concentrations reaching peaks under 1 h following administration. Notably, 6PPD-Q was primarily distributed in the adipose tissue, marked by a significant Cmax (p &lt; 0.05), followed by the kidney, lung, testis, liver, spleen, heart, and muscle. In addition, our measurement demonstrated that 6PPD-Q can penetrate the blood-brain barrier of mice within 0.5 h after exposure. The half-lives (t1/2) of 6PPD-Q in serum, lung, kidney, and spleen of mice were measured at 12.7 ± 0.3 h, 20.7 ± 1.4 h, 21.6 ± 5.3 h, and 20.6 ± 2.8 h, respectively. Using HRMS combined with isotope tracing techniques, two novel hydroxylated metabolites of 6PPD-Q in the mice liver were identified for the first time, which provides new insights into its rapid elimination in-vivo. Meanwhile, fecal excretion was identified as the main excretory pathway for 6PPD-Q and its hydroxylated metabolites. Collectively, our findings extend the current knowledge on the biological fate and exposure status of 6PPD-Q in a mouse model, which has the potential to be extrapolated to humans.","container-title":"Science of the Total Environment","DOI":"10.1016/j.scitotenv.2023.169291","ISSN":"1879-1026","journalAbbreviation":"Sci Total Environ","language":"eng","note":"PMID: 38104817","page":"169291","source":"PubMed","title":"Stable isotope-assisted mass spectrometry reveals in vivo distribution, metabolism, and excretion of tire rubber-derived 6PPD-quinone in mice","volume":"912","author":[{"family":"Zhang","given":"Jing"},{"family":"Cao","given":"Guodong"},{"family":"Wang","given":"Wei"},{"family":"Qiao","given":"Han"},{"family":"Chen","given":"Yi"},{"family":"Wang","given":"Xiaoxiao"},{"family":"Wang","given":"Fuyue"},{"family":"Liu","given":"Wenlan"},{"family":"Cai","given":"Zongwei"}],"issued":{"date-parts":[["2024",2,20]]}}}],"schema":"https://github.com/citation-style-language/schema/raw/master/csl-citation.json"} </w:instrText>
            </w:r>
            <w:r>
              <w:fldChar w:fldCharType="separate"/>
            </w:r>
            <w:r w:rsidRPr="0083303D">
              <w:t>(Zhang et al. 2024)</w:t>
            </w:r>
            <w:r>
              <w:fldChar w:fldCharType="end"/>
            </w:r>
            <w:r>
              <w:br/>
            </w:r>
            <w:hyperlink r:id="rId36" w:history="1">
              <w:r w:rsidR="00590F73" w:rsidRPr="00E57172">
                <w:rPr>
                  <w:rStyle w:val="Hyperlink"/>
                </w:rPr>
                <w:t>https://doi.org/10.1016/j.scitotenv.2023.169291</w:t>
              </w:r>
            </w:hyperlink>
            <w:r w:rsidR="00590F73" w:rsidRPr="004A774C">
              <w:t>.</w:t>
            </w:r>
          </w:p>
        </w:tc>
      </w:tr>
      <w:tr w:rsidR="00E6444E" w:rsidRPr="004A774C" w14:paraId="648AD59D"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FFFFD9"/>
            <w:noWrap/>
            <w:vAlign w:val="center"/>
            <w:hideMark/>
          </w:tcPr>
          <w:p w14:paraId="0AAB914B" w14:textId="77777777" w:rsidR="00590F73" w:rsidRPr="004A774C" w:rsidRDefault="00590F73" w:rsidP="00F95A47">
            <w:pPr>
              <w:pStyle w:val="ITRCTableTextCentered"/>
            </w:pPr>
            <w:r w:rsidRPr="004A774C">
              <w:t xml:space="preserve">6PPD or 6PPD-q </w:t>
            </w:r>
          </w:p>
        </w:tc>
        <w:tc>
          <w:tcPr>
            <w:tcW w:w="1440" w:type="dxa"/>
            <w:tcBorders>
              <w:top w:val="nil"/>
              <w:left w:val="nil"/>
              <w:bottom w:val="single" w:sz="4" w:space="0" w:color="auto"/>
              <w:right w:val="single" w:sz="4" w:space="0" w:color="auto"/>
            </w:tcBorders>
            <w:shd w:val="clear" w:color="auto" w:fill="FFFFD9"/>
            <w:noWrap/>
            <w:vAlign w:val="center"/>
            <w:hideMark/>
          </w:tcPr>
          <w:p w14:paraId="72F18EE2" w14:textId="77CEE33D" w:rsidR="00590F73" w:rsidRPr="004A774C" w:rsidRDefault="00590F73" w:rsidP="00F95A47">
            <w:pPr>
              <w:pStyle w:val="ITRCTableTextCentered"/>
            </w:pPr>
            <w:r w:rsidRPr="004A774C">
              <w:t xml:space="preserve">ADME, </w:t>
            </w:r>
            <w:r>
              <w:t>d</w:t>
            </w:r>
            <w:r w:rsidRPr="004A774C">
              <w:t>evelopmental</w:t>
            </w:r>
          </w:p>
        </w:tc>
        <w:tc>
          <w:tcPr>
            <w:tcW w:w="4230" w:type="dxa"/>
            <w:tcBorders>
              <w:top w:val="nil"/>
              <w:left w:val="nil"/>
              <w:bottom w:val="single" w:sz="4" w:space="0" w:color="auto"/>
              <w:right w:val="single" w:sz="4" w:space="0" w:color="auto"/>
            </w:tcBorders>
            <w:shd w:val="clear" w:color="auto" w:fill="FFFFD9"/>
            <w:vAlign w:val="center"/>
            <w:hideMark/>
          </w:tcPr>
          <w:p w14:paraId="6D581808" w14:textId="5E913F1E" w:rsidR="00590F73" w:rsidRDefault="00590F73" w:rsidP="00F95A47">
            <w:pPr>
              <w:pStyle w:val="ITRCTableText"/>
            </w:pPr>
            <w:r w:rsidRPr="004A774C">
              <w:t>Urinary Excretion: 4</w:t>
            </w:r>
            <w:r>
              <w:t> mg/kg</w:t>
            </w:r>
            <w:r w:rsidRPr="004A774C">
              <w:t xml:space="preserve"> (dissolved in corn oil) via oral gavage in mice age</w:t>
            </w:r>
            <w:r w:rsidR="003748AF">
              <w:t>d</w:t>
            </w:r>
            <w:r w:rsidRPr="004A774C">
              <w:t xml:space="preserve"> 10</w:t>
            </w:r>
            <w:r>
              <w:t>–</w:t>
            </w:r>
            <w:r w:rsidRPr="004A774C">
              <w:t xml:space="preserve">15 weeks; </w:t>
            </w:r>
            <w:r>
              <w:t>u</w:t>
            </w:r>
            <w:r w:rsidRPr="004A774C">
              <w:t xml:space="preserve">rine samples collected prior to treatment and </w:t>
            </w:r>
            <w:r>
              <w:t xml:space="preserve">at </w:t>
            </w:r>
            <w:r w:rsidRPr="004A774C">
              <w:t>1, 5 and</w:t>
            </w:r>
            <w:r w:rsidR="00C62698">
              <w:t>,</w:t>
            </w:r>
            <w:r w:rsidRPr="004A774C">
              <w:t xml:space="preserve"> 24</w:t>
            </w:r>
            <w:r>
              <w:t> </w:t>
            </w:r>
            <w:r w:rsidRPr="004A774C">
              <w:t>hours post-treatment</w:t>
            </w:r>
            <w:r>
              <w:t>.</w:t>
            </w:r>
          </w:p>
          <w:p w14:paraId="38036D7C" w14:textId="0FADC62A" w:rsidR="00590F73" w:rsidRPr="004A774C" w:rsidRDefault="00590F73" w:rsidP="00F95A47">
            <w:pPr>
              <w:pStyle w:val="ITRCTableText"/>
            </w:pPr>
            <w:r w:rsidRPr="004A774C">
              <w:t>Maternal Transfer: 4</w:t>
            </w:r>
            <w:r>
              <w:t> mg/kg</w:t>
            </w:r>
            <w:r w:rsidRPr="004A774C">
              <w:t xml:space="preserve"> (dissolved in corn oil); </w:t>
            </w:r>
            <w:r>
              <w:t>p</w:t>
            </w:r>
            <w:r w:rsidRPr="004A774C">
              <w:t xml:space="preserve">regnant dams treated from E11.5 to E15.5 once per day via oral gavage. </w:t>
            </w:r>
          </w:p>
        </w:tc>
        <w:tc>
          <w:tcPr>
            <w:tcW w:w="2340" w:type="dxa"/>
            <w:tcBorders>
              <w:top w:val="nil"/>
              <w:left w:val="nil"/>
              <w:bottom w:val="single" w:sz="4" w:space="0" w:color="auto"/>
              <w:right w:val="single" w:sz="4" w:space="0" w:color="auto"/>
            </w:tcBorders>
            <w:shd w:val="clear" w:color="auto" w:fill="FFFFD9"/>
            <w:vAlign w:val="center"/>
            <w:hideMark/>
          </w:tcPr>
          <w:p w14:paraId="768C11C6" w14:textId="77777777" w:rsidR="00590F73" w:rsidRPr="004A774C" w:rsidRDefault="00590F73" w:rsidP="00F95A47">
            <w:pPr>
              <w:pStyle w:val="ITRCTableText"/>
            </w:pPr>
            <w:r w:rsidRPr="004A774C">
              <w:t>Male/Female C57Bl/6 mice (n=12/group)</w:t>
            </w:r>
          </w:p>
        </w:tc>
        <w:tc>
          <w:tcPr>
            <w:tcW w:w="9270" w:type="dxa"/>
            <w:tcBorders>
              <w:top w:val="nil"/>
              <w:left w:val="nil"/>
              <w:bottom w:val="single" w:sz="4" w:space="0" w:color="auto"/>
              <w:right w:val="single" w:sz="4" w:space="0" w:color="auto"/>
            </w:tcBorders>
            <w:shd w:val="clear" w:color="auto" w:fill="FFFFD9"/>
            <w:vAlign w:val="center"/>
            <w:hideMark/>
          </w:tcPr>
          <w:p w14:paraId="59A36F39" w14:textId="77777777" w:rsidR="00590F73" w:rsidRDefault="00590F73" w:rsidP="00F95A47">
            <w:pPr>
              <w:pStyle w:val="ITRCTableText"/>
            </w:pPr>
            <w:r w:rsidRPr="004A774C">
              <w:t>Female and male mice exhibited sex difference in excretion profiles of 6PPD and 6PPD-q.</w:t>
            </w:r>
          </w:p>
          <w:p w14:paraId="4AB1B8F4" w14:textId="7982E72C" w:rsidR="00590F73" w:rsidRDefault="00590F73" w:rsidP="00F95A47">
            <w:pPr>
              <w:pStyle w:val="ITRCTableText"/>
            </w:pPr>
            <w:r w:rsidRPr="004A774C">
              <w:t>Urine concentrations of 6PPD-q (7.9</w:t>
            </w:r>
            <w:r>
              <w:t> ± </w:t>
            </w:r>
            <w:r w:rsidRPr="004A774C">
              <w:t>2.2</w:t>
            </w:r>
            <w:r>
              <w:t> ng/mL</w:t>
            </w:r>
            <w:r w:rsidRPr="004A774C">
              <w:t>, 4.3</w:t>
            </w:r>
            <w:r>
              <w:t> ± </w:t>
            </w:r>
            <w:r w:rsidRPr="004A774C">
              <w:t>1.1 ng/</w:t>
            </w:r>
            <w:proofErr w:type="spellStart"/>
            <w:r w:rsidRPr="004A774C">
              <w:t>mgL</w:t>
            </w:r>
            <w:proofErr w:type="spellEnd"/>
            <w:r w:rsidRPr="004A774C">
              <w:t xml:space="preserve"> and &lt;LOQ at 1</w:t>
            </w:r>
            <w:r>
              <w:t>h</w:t>
            </w:r>
            <w:r w:rsidRPr="004A774C">
              <w:t>, 5</w:t>
            </w:r>
            <w:r>
              <w:t>h,</w:t>
            </w:r>
            <w:r w:rsidRPr="004A774C">
              <w:t xml:space="preserve"> and 24h post-treatment, respectively) were one order of magnitude lower than those of 6PPD (45</w:t>
            </w:r>
            <w:r>
              <w:t> ± </w:t>
            </w:r>
            <w:r w:rsidRPr="004A774C">
              <w:t>45</w:t>
            </w:r>
            <w:r>
              <w:t> ng/mL</w:t>
            </w:r>
            <w:r w:rsidRPr="004A774C">
              <w:t>, 110</w:t>
            </w:r>
            <w:r>
              <w:t> ± </w:t>
            </w:r>
            <w:r w:rsidRPr="004A774C">
              <w:t>48 ng/</w:t>
            </w:r>
            <w:proofErr w:type="spellStart"/>
            <w:r w:rsidRPr="004A774C">
              <w:t>mgL</w:t>
            </w:r>
            <w:proofErr w:type="spellEnd"/>
            <w:r>
              <w:t>,</w:t>
            </w:r>
            <w:r w:rsidRPr="004A774C">
              <w:t xml:space="preserve"> and 5.9</w:t>
            </w:r>
            <w:r>
              <w:t> ± </w:t>
            </w:r>
            <w:r w:rsidRPr="004A774C">
              <w:t>3.6</w:t>
            </w:r>
            <w:r>
              <w:t> ng/mL</w:t>
            </w:r>
            <w:r w:rsidRPr="004A774C">
              <w:t xml:space="preserve"> at 1</w:t>
            </w:r>
            <w:r>
              <w:t>h</w:t>
            </w:r>
            <w:r w:rsidRPr="004A774C">
              <w:t>, 5</w:t>
            </w:r>
            <w:r>
              <w:t>h,</w:t>
            </w:r>
            <w:r w:rsidRPr="004A774C">
              <w:t xml:space="preserve"> and 24</w:t>
            </w:r>
            <w:r>
              <w:t>h</w:t>
            </w:r>
            <w:r w:rsidRPr="004A774C">
              <w:t xml:space="preserve"> post-treatment, respectively), suggesting lower excretion and higher bioaccumulation of 6PPD-q. 6PPD concentrations were significantly higher in female urine samples than male samples at 1h and 5h post-treatment. 6PPD-q concentrations were higher in male urine samples measured 1h post-treatment, though the finding lacked statistical significance due to the small sample size. Urine concentrations of 6PPD-q measured in mice were </w:t>
            </w:r>
            <w:proofErr w:type="gramStart"/>
            <w:r w:rsidRPr="004A774C">
              <w:t>similar to</w:t>
            </w:r>
            <w:proofErr w:type="gramEnd"/>
            <w:r w:rsidRPr="004A774C">
              <w:t xml:space="preserve"> those measured in humans (&lt;LOQ</w:t>
            </w:r>
            <w:r>
              <w:t>–</w:t>
            </w:r>
            <w:r w:rsidRPr="004A774C">
              <w:t>4.3</w:t>
            </w:r>
            <w:r>
              <w:t> ng/mL</w:t>
            </w:r>
            <w:r w:rsidRPr="004A774C">
              <w:t xml:space="preserve"> compared to 0.08</w:t>
            </w:r>
            <w:r>
              <w:t>–</w:t>
            </w:r>
            <w:r w:rsidRPr="004A774C">
              <w:t>2.9</w:t>
            </w:r>
            <w:r>
              <w:t> ng/mL</w:t>
            </w:r>
            <w:r w:rsidRPr="004A774C">
              <w:t>), whereas urine concentrations of 6PPD in mice were two orders of magnitude higher than concentrations measured in humans (5.9</w:t>
            </w:r>
            <w:r>
              <w:t> ng/mL</w:t>
            </w:r>
            <w:r w:rsidRPr="004A774C">
              <w:t xml:space="preserve"> compared to 0.015</w:t>
            </w:r>
            <w:r>
              <w:t>–</w:t>
            </w:r>
            <w:r w:rsidRPr="004A774C">
              <w:t>0.068</w:t>
            </w:r>
            <w:r>
              <w:t> ng/mL</w:t>
            </w:r>
            <w:r w:rsidRPr="004A774C">
              <w:t>). The study authors noted that this discrepancy was due to the sample collection and analytical uncertainties.</w:t>
            </w:r>
          </w:p>
          <w:p w14:paraId="6DCAAC9F" w14:textId="77777777" w:rsidR="00590F73" w:rsidRDefault="00590F73" w:rsidP="00F95A47">
            <w:pPr>
              <w:pStyle w:val="ITRCTableText"/>
            </w:pPr>
            <w:r w:rsidRPr="004A774C">
              <w:t>In pregnant mice treated with 6PPD or 6PPD-q from embryonic day 11.5 to 15.5, 6PPD-q showed</w:t>
            </w:r>
            <w:r>
              <w:t xml:space="preserve"> ~</w:t>
            </w:r>
            <w:r w:rsidRPr="004A774C">
              <w:t>1.5–8 times higher bioaccumulation than 6PPD in placenta, embryo body, and embryo brain, suggesting higher placental transfer of 6PPD-q. Lower concentrations of 6PPD-q and 6PPD were measured in the fetal brain as compared with the dam brain, which indicates partial protection effect of the placenta.</w:t>
            </w:r>
          </w:p>
          <w:p w14:paraId="7692D010" w14:textId="289B2746" w:rsidR="00590F73" w:rsidRPr="004A774C" w:rsidRDefault="00590F73" w:rsidP="00F95A47">
            <w:pPr>
              <w:pStyle w:val="ITRCTableText"/>
            </w:pPr>
            <w:r w:rsidRPr="004A774C">
              <w:t>Using in vitro dual-luciferase reporter assays, the study authors determined that 6PPD-q activated the human retinoic acid receptor α (RARα) and retinoid X receptor α (RXRα) at concentrations as low as 0.3</w:t>
            </w:r>
            <w:r>
              <w:t> </w:t>
            </w:r>
            <w:proofErr w:type="spellStart"/>
            <w:r>
              <w:t>μM</w:t>
            </w:r>
            <w:proofErr w:type="spellEnd"/>
            <w:r w:rsidRPr="004A774C">
              <w:t>, which was</w:t>
            </w:r>
            <w:r>
              <w:t xml:space="preserve"> ~</w:t>
            </w:r>
            <w:r w:rsidRPr="004A774C">
              <w:t>10-fold higher than the concentrations detected in human urine. 6PPD activated the RXRα in a dose-dependent manner at concentrations as low as 1.2</w:t>
            </w:r>
            <w:r>
              <w:t> </w:t>
            </w:r>
            <w:proofErr w:type="spellStart"/>
            <w:r>
              <w:t>μM</w:t>
            </w:r>
            <w:proofErr w:type="spellEnd"/>
            <w:r w:rsidRPr="004A774C">
              <w:t>.</w:t>
            </w:r>
          </w:p>
        </w:tc>
        <w:tc>
          <w:tcPr>
            <w:tcW w:w="3240" w:type="dxa"/>
            <w:tcBorders>
              <w:top w:val="nil"/>
              <w:left w:val="nil"/>
              <w:bottom w:val="single" w:sz="4" w:space="0" w:color="auto"/>
              <w:right w:val="single" w:sz="4" w:space="0" w:color="auto"/>
            </w:tcBorders>
            <w:shd w:val="clear" w:color="auto" w:fill="FFFFD9"/>
            <w:hideMark/>
          </w:tcPr>
          <w:p w14:paraId="7944EED2" w14:textId="085DA0E8" w:rsidR="00590F73" w:rsidRPr="004A774C" w:rsidRDefault="005B7886" w:rsidP="00F95A47">
            <w:pPr>
              <w:pStyle w:val="ITRCTableText"/>
            </w:pPr>
            <w:r>
              <w:fldChar w:fldCharType="begin"/>
            </w:r>
            <w:r>
              <w:instrText xml:space="preserve"> ADDIN ZOTERO_ITEM CSL_CITATION {"citationID":"435gWUqh","properties":{"formattedCitation":"(Zhao et al. 2023)","plainCitation":"(Zhao et al. 2023)","noteIndex":0},"citationItems":[{"id":"NszNWA2z/0Tj13p7j","uris":["http://zotero.org/groups/4911552/items/FDH6VDE8"],"itemData":{"id":9927,"type":"article-journal","abstract":"The rubber antioxidant 6PPD has gained significant attention due to its highly toxic transformation product, 6PPD-quinone (6PPDQ). Despite their detection in urines of pregnant women, the placental transfer and developmental toxicity of 6PPD and 6PPDQ are unknown. Here, we treated C57Bl/6 mice with 4 mg/kg 6PPD or 6PPDQ to investigate their urine excretion and placental transfer. Female and male mice exhibited sex difference in excretion profiles of 6PPD and 6PPDQ. Urine concentrations of 6PPDQ were one order of magnitude lower than those of 6PPD, suggesting lower excretion and higher bioaccumulation of 6PPDQ. In pregnant mice treated with 6PPD or 6PPDQ from embryonic day 11.5 to 15.5, 6PPDQ showed </w:instrText>
            </w:r>
            <w:r>
              <w:rPr>
                <w:rFonts w:ascii="Cambria Math" w:hAnsi="Cambria Math" w:cs="Cambria Math"/>
              </w:rPr>
              <w:instrText>∼</w:instrText>
            </w:r>
            <w:r>
              <w:instrText xml:space="preserve">1.5–8 times higher concentrations than 6PPD in placenta, embryo body, and embryo brain, suggesting higher placental transfer of 6PPDQ. Using in vitro dual-luciferase reporter assays, we revealed that 6PPDQ activated the human retinoic acid receptor α (RARα) and retinoid X receptor α (RXRα) at concentrations as low as 0.3 μM, which was </w:instrText>
            </w:r>
            <w:r>
              <w:rPr>
                <w:rFonts w:ascii="Cambria Math" w:hAnsi="Cambria Math" w:cs="Cambria Math"/>
              </w:rPr>
              <w:instrText>∼</w:instrText>
            </w:r>
            <w:r>
              <w:instrText xml:space="preserve">10-fold higher than the concentrations detected in human urines. 6PPD activated the RXRα at concentrations as low as 1.2 μM. These results demonstrate the exposure risks of 6PPD and 6PPDQ during pregnancy and emphasize the need for further toxicological and epidemiological investigations.","container-title":"Environmental Science &amp; Technology","DOI":"10.1021/acs.est.3c05026","ISSN":"0013-936X","journalAbbreviation":"Environ. Sci. Technol.","note":"publisher: American Chemical Society","source":"ACS Publications","title":"Urine Excretion, Organ Distribution, and Placental Transfer of 6PPD and 6PPD-Quinone in Mice and Potential Developmental Toxicity through Nuclear Receptor Pathways","URL":"https://doi.org/10.1021/acs.est.3c05026","author":[{"family":"Zhao","given":"Haoqi Nina"},{"family":"Thomas","given":"Sydney P."},{"family":"Zylka","given":"Mark J."},{"family":"Dorrestein","given":"Pieter C."},{"family":"Hu","given":"Wenxin"}],"accessed":{"date-parts":[["2023",9,5]]},"issued":{"date-parts":[["2023",8,29]]}},"label":"page"}],"schema":"https://github.com/citation-style-language/schema/raw/master/csl-citation.json"} </w:instrText>
            </w:r>
            <w:r>
              <w:fldChar w:fldCharType="separate"/>
            </w:r>
            <w:r w:rsidRPr="005B7886">
              <w:t>(Zhao et al. 2023)</w:t>
            </w:r>
            <w:r>
              <w:fldChar w:fldCharType="end"/>
            </w:r>
            <w:r>
              <w:br/>
            </w:r>
            <w:hyperlink r:id="rId37" w:history="1">
              <w:r w:rsidR="00590F73" w:rsidRPr="00E57172">
                <w:rPr>
                  <w:rStyle w:val="Hyperlink"/>
                </w:rPr>
                <w:t>https://pubs.acs.org/doi/10.1021/acs.est.3c05026</w:t>
              </w:r>
            </w:hyperlink>
          </w:p>
        </w:tc>
      </w:tr>
      <w:tr w:rsidR="00E6444E" w:rsidRPr="004A774C" w14:paraId="4108B9B6"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FFFFD9"/>
            <w:noWrap/>
            <w:vAlign w:val="center"/>
            <w:hideMark/>
          </w:tcPr>
          <w:p w14:paraId="3BB05FFA" w14:textId="1BCF4FBB" w:rsidR="00590F73" w:rsidRPr="004A774C" w:rsidRDefault="00590F73" w:rsidP="00F95A47">
            <w:pPr>
              <w:pStyle w:val="ITRCTableTextCentered"/>
            </w:pPr>
            <w:r w:rsidRPr="004A774C">
              <w:lastRenderedPageBreak/>
              <w:t>6PPD or 6PPD-q</w:t>
            </w:r>
          </w:p>
        </w:tc>
        <w:tc>
          <w:tcPr>
            <w:tcW w:w="1440" w:type="dxa"/>
            <w:tcBorders>
              <w:top w:val="nil"/>
              <w:left w:val="nil"/>
              <w:bottom w:val="single" w:sz="4" w:space="0" w:color="auto"/>
              <w:right w:val="single" w:sz="4" w:space="0" w:color="auto"/>
            </w:tcBorders>
            <w:shd w:val="clear" w:color="auto" w:fill="FFFFD9"/>
            <w:noWrap/>
            <w:vAlign w:val="center"/>
            <w:hideMark/>
          </w:tcPr>
          <w:p w14:paraId="785EBAA1" w14:textId="2ADF5223" w:rsidR="00590F73" w:rsidRPr="004A774C" w:rsidRDefault="00590F73" w:rsidP="00F95A47">
            <w:pPr>
              <w:pStyle w:val="ITRCTableTextCentered"/>
            </w:pPr>
            <w:r w:rsidRPr="004A774C">
              <w:t xml:space="preserve">Repeat </w:t>
            </w:r>
            <w:r>
              <w:t>d</w:t>
            </w:r>
            <w:r w:rsidRPr="004A774C">
              <w:t>ose (</w:t>
            </w:r>
            <w:proofErr w:type="spellStart"/>
            <w:r>
              <w:t>s</w:t>
            </w:r>
            <w:r w:rsidRPr="004A774C">
              <w:t>ubchronic</w:t>
            </w:r>
            <w:proofErr w:type="spellEnd"/>
            <w:r w:rsidRPr="004A774C">
              <w:t>)</w:t>
            </w:r>
          </w:p>
        </w:tc>
        <w:tc>
          <w:tcPr>
            <w:tcW w:w="4230" w:type="dxa"/>
            <w:tcBorders>
              <w:top w:val="nil"/>
              <w:left w:val="nil"/>
              <w:bottom w:val="single" w:sz="4" w:space="0" w:color="auto"/>
              <w:right w:val="single" w:sz="4" w:space="0" w:color="auto"/>
            </w:tcBorders>
            <w:shd w:val="clear" w:color="auto" w:fill="FFFFD9"/>
            <w:vAlign w:val="center"/>
            <w:hideMark/>
          </w:tcPr>
          <w:p w14:paraId="652AB742" w14:textId="3C63CD0C" w:rsidR="00590F73" w:rsidRPr="004A774C" w:rsidRDefault="00590F73" w:rsidP="00F95A47">
            <w:pPr>
              <w:pStyle w:val="ITRCTableText"/>
            </w:pPr>
            <w:r w:rsidRPr="004A774C">
              <w:t>6PPD and 6PPD-q were dissolved in acetone (ﬁve parts per thousand by volume) and mixed with corn oil. Mice in the six treatment groups were orally administered 10</w:t>
            </w:r>
            <w:r>
              <w:t> mg/kg</w:t>
            </w:r>
            <w:r w:rsidRPr="004A774C">
              <w:t>, 30</w:t>
            </w:r>
            <w:r>
              <w:t> mg/kg</w:t>
            </w:r>
            <w:r w:rsidRPr="004A774C">
              <w:t>, or 100</w:t>
            </w:r>
            <w:r>
              <w:t> mg/kg</w:t>
            </w:r>
            <w:r w:rsidRPr="004A774C">
              <w:t xml:space="preserve"> 6PPD or 6PPD-q</w:t>
            </w:r>
            <w:r>
              <w:t xml:space="preserve"> </w:t>
            </w:r>
            <w:r w:rsidRPr="004A774C">
              <w:t>for six weeks</w:t>
            </w:r>
          </w:p>
        </w:tc>
        <w:tc>
          <w:tcPr>
            <w:tcW w:w="2340" w:type="dxa"/>
            <w:tcBorders>
              <w:top w:val="nil"/>
              <w:left w:val="nil"/>
              <w:bottom w:val="single" w:sz="4" w:space="0" w:color="auto"/>
              <w:right w:val="single" w:sz="4" w:space="0" w:color="auto"/>
            </w:tcBorders>
            <w:shd w:val="clear" w:color="auto" w:fill="FFFFD9"/>
            <w:vAlign w:val="center"/>
            <w:hideMark/>
          </w:tcPr>
          <w:p w14:paraId="32C55A16" w14:textId="2B47B623" w:rsidR="00590F73" w:rsidRPr="004A774C" w:rsidRDefault="00590F73" w:rsidP="00F95A47">
            <w:pPr>
              <w:pStyle w:val="ITRCTableText"/>
            </w:pPr>
            <w:r w:rsidRPr="004A774C">
              <w:t>Male C57BL/6 mice (n = 56)</w:t>
            </w:r>
          </w:p>
        </w:tc>
        <w:tc>
          <w:tcPr>
            <w:tcW w:w="9270" w:type="dxa"/>
            <w:tcBorders>
              <w:top w:val="nil"/>
              <w:left w:val="nil"/>
              <w:bottom w:val="single" w:sz="4" w:space="0" w:color="auto"/>
              <w:right w:val="single" w:sz="4" w:space="0" w:color="auto"/>
            </w:tcBorders>
            <w:shd w:val="clear" w:color="auto" w:fill="FFFFD9"/>
            <w:vAlign w:val="center"/>
            <w:hideMark/>
          </w:tcPr>
          <w:p w14:paraId="061E18BE" w14:textId="1EA52C60" w:rsidR="00590F73" w:rsidRDefault="00590F73" w:rsidP="00F95A47">
            <w:pPr>
              <w:pStyle w:val="ITRCTableText"/>
            </w:pPr>
            <w:r w:rsidRPr="004A774C">
              <w:t>A high dose (100</w:t>
            </w:r>
            <w:r>
              <w:t> mg/kg</w:t>
            </w:r>
            <w:r w:rsidRPr="004A774C">
              <w:t>) of 6PPD and 6PPD-q exposure increased liver weights and liver triglyceride levels, indicating that 6PPD and 6PPD-q exposure induced hepatotoxicity in mice. After 6 weeks of treatment, 6PPD and 6PPD-q were detected and measured in treated mouse livers, with measured concentrations generally increasing with dose.</w:t>
            </w:r>
          </w:p>
          <w:p w14:paraId="01BBDEA6" w14:textId="77777777" w:rsidR="00590F73" w:rsidRDefault="00590F73" w:rsidP="00F95A47">
            <w:pPr>
              <w:pStyle w:val="ITRCTableText"/>
            </w:pPr>
            <w:r w:rsidRPr="004A774C">
              <w:t>Transcriptomic analysis revealed that 6PPD and 6PPD-q induced differential expression of genes mainly enriched in glucolipid metabolism, immune-related, and glutathione metabolism pathways. Therefore, 6PPD and 6PPD-q altered hepatic metabolism in mice.</w:t>
            </w:r>
          </w:p>
          <w:p w14:paraId="581DC22D" w14:textId="1AC76C8C" w:rsidR="00590F73" w:rsidRPr="004A774C" w:rsidRDefault="00590F73" w:rsidP="00F95A47">
            <w:pPr>
              <w:pStyle w:val="ITRCTableText"/>
            </w:pPr>
            <w:r w:rsidRPr="004A774C">
              <w:t>6PPD-q could induce an immune response by upregulating the transcription of immune-related genes and promoting macrophage infiltration in the liver.</w:t>
            </w:r>
          </w:p>
        </w:tc>
        <w:tc>
          <w:tcPr>
            <w:tcW w:w="3240" w:type="dxa"/>
            <w:tcBorders>
              <w:top w:val="nil"/>
              <w:left w:val="nil"/>
              <w:bottom w:val="single" w:sz="4" w:space="0" w:color="auto"/>
              <w:right w:val="single" w:sz="4" w:space="0" w:color="auto"/>
            </w:tcBorders>
            <w:shd w:val="clear" w:color="auto" w:fill="FFFFD9"/>
            <w:hideMark/>
          </w:tcPr>
          <w:p w14:paraId="08AF1D6E" w14:textId="5CEBD247" w:rsidR="00590F73" w:rsidRPr="004A774C" w:rsidRDefault="00B65399" w:rsidP="00F95A47">
            <w:pPr>
              <w:pStyle w:val="ITRCTableText"/>
            </w:pPr>
            <w:r>
              <w:fldChar w:fldCharType="begin"/>
            </w:r>
            <w:r>
              <w:instrText xml:space="preserve"> ADDIN ZOTERO_ITEM CSL_CITATION {"citationID":"b5Fk0OuJ","properties":{"formattedCitation":"(L. Fang et al. 2023)","plainCitation":"(L. Fang et al. 2023)","noteIndex":0},"citationItems":[{"id":1288,"uris":["http://zotero.org/groups/4911552/items/B66X64SI"],"itemData":{"id":1288,"type":"article-journal","abstract":"N-(1,3-dimethylbutyl)-N′-phenyl-p-phenylenediamine (6PPD) is a widely used additive for protecting various rubber products, and its product of oxidation N-(1,3-Dimethylbutyl)-N′-phenyl-p-phenylenediamine-quinone (6PPDQ) has attracted extensive attention in aquatic toxicity. However, the toxicity of 6PPD and 6PPDQ in mammals has not been reported yet. In this study, the effects of 6PPD and 6PPDQ on the liver of C57BL/6 mice were assessed by orally administering different doses of 6PPD and 6PPDQ (10, 30, and 100 mg/kg) in mice for 6 weeks. 6PPD and 6PPDQ were found to bioaccumulate in the liver in a dose-dependent manner. Moreover, a high dose of 6PPD and 6PPDQ exposure increased not only the liver weights but also liver triglyceride levels, indicating that 6PPD and 6PPDQ exposure induced hepatotoxicity in mice. Furthermore, transcriptomic analysis revealed that 6PPD and 6PPDQ induced differential expression of genes mainly enriched in glycolipid metabolism, immune-related, and glutathione metabolism pathways. Therefore, 6PPD and 6PPDQ altered hepatic metabolism in mice. Furthermore, 6PPDQ could induce an immune response by upregulating the transcription of immune-related genes and promoting macrophage infiltration in the liver. In conclusion, our study revealed the toxic effects of 6PPD and 6PPDQ exposure on multi-endpoints in the liver of mice and improve our understanding of the health risks of 6PPD and 6PPDQ to mammals. The findings of our study may help formulate better safety regulations for the use and disposal of rubber products.","container-title":"Science of the Total Environment","DOI":"10.1016/j.scitotenv.2023.161836","ISSN":"0048-9697","journalAbbreviation":"Science of the Total Environment","language":"en","page":"161836","source":"ScienceDirect","title":"Oral exposure to tire rubber–derived contaminant 6PPD and 6PPD-quinone induce hepatotoxicity in mice","volume":"869","author":[{"family":"Fang","given":"Liya"},{"family":"Fang","given":"Chanlin"},{"family":"Di","given":"Shanshan"},{"family":"Yu","given":"Yundong"},{"family":"Wang","given":"Caihong"},{"family":"Wang","given":"Xinquan"},{"family":"Jin","given":"Yuanxiang"}],"issued":{"date-parts":[["2023",4,15]]}},"label":"page"}],"schema":"https://github.com/citation-style-language/schema/raw/master/csl-citation.json"} </w:instrText>
            </w:r>
            <w:r>
              <w:fldChar w:fldCharType="separate"/>
            </w:r>
            <w:r w:rsidRPr="00B65399">
              <w:t>(L. Fang et al. 2023)</w:t>
            </w:r>
            <w:r>
              <w:fldChar w:fldCharType="end"/>
            </w:r>
            <w:r w:rsidR="00B83A40">
              <w:br/>
            </w:r>
            <w:hyperlink r:id="rId38" w:history="1">
              <w:r w:rsidR="00B83A40" w:rsidRPr="00AF00B7">
                <w:rPr>
                  <w:rStyle w:val="Hyperlink"/>
                </w:rPr>
                <w:t>https://doi.org/10.1016/j.scitotenv.2023.161836</w:t>
              </w:r>
            </w:hyperlink>
          </w:p>
        </w:tc>
      </w:tr>
      <w:tr w:rsidR="00E6444E" w:rsidRPr="004A774C" w14:paraId="03E15CCC" w14:textId="77777777" w:rsidTr="00242F52">
        <w:trPr>
          <w:cantSplit/>
        </w:trPr>
        <w:tc>
          <w:tcPr>
            <w:tcW w:w="1170" w:type="dxa"/>
            <w:tcBorders>
              <w:top w:val="nil"/>
              <w:left w:val="single" w:sz="4" w:space="0" w:color="auto"/>
              <w:bottom w:val="single" w:sz="4" w:space="0" w:color="auto"/>
              <w:right w:val="single" w:sz="4" w:space="0" w:color="auto"/>
            </w:tcBorders>
            <w:shd w:val="clear" w:color="auto" w:fill="FFFFD9"/>
            <w:noWrap/>
            <w:vAlign w:val="center"/>
            <w:hideMark/>
          </w:tcPr>
          <w:p w14:paraId="741514F3" w14:textId="77509E6E" w:rsidR="00590F73" w:rsidRPr="004A774C" w:rsidRDefault="00590F73" w:rsidP="00F95A47">
            <w:pPr>
              <w:pStyle w:val="ITRCTableTextCentered"/>
            </w:pPr>
            <w:r w:rsidRPr="004A774C">
              <w:t>6PPD or 6PPD-q</w:t>
            </w:r>
          </w:p>
        </w:tc>
        <w:tc>
          <w:tcPr>
            <w:tcW w:w="1440" w:type="dxa"/>
            <w:tcBorders>
              <w:top w:val="nil"/>
              <w:left w:val="nil"/>
              <w:bottom w:val="single" w:sz="4" w:space="0" w:color="auto"/>
              <w:right w:val="single" w:sz="4" w:space="0" w:color="auto"/>
            </w:tcBorders>
            <w:shd w:val="clear" w:color="auto" w:fill="FFFFD9"/>
            <w:noWrap/>
            <w:vAlign w:val="center"/>
            <w:hideMark/>
          </w:tcPr>
          <w:p w14:paraId="67D1A93C" w14:textId="5D8BD7E2" w:rsidR="00590F73" w:rsidRPr="004A774C" w:rsidRDefault="00590F73" w:rsidP="00F95A47">
            <w:pPr>
              <w:pStyle w:val="ITRCTableTextCentered"/>
            </w:pPr>
            <w:r w:rsidRPr="004A774C">
              <w:t>ADME</w:t>
            </w:r>
          </w:p>
        </w:tc>
        <w:tc>
          <w:tcPr>
            <w:tcW w:w="4230" w:type="dxa"/>
            <w:tcBorders>
              <w:top w:val="nil"/>
              <w:left w:val="nil"/>
              <w:bottom w:val="single" w:sz="4" w:space="0" w:color="auto"/>
              <w:right w:val="single" w:sz="4" w:space="0" w:color="auto"/>
            </w:tcBorders>
            <w:shd w:val="clear" w:color="auto" w:fill="FFFFD9"/>
            <w:noWrap/>
            <w:vAlign w:val="center"/>
            <w:hideMark/>
          </w:tcPr>
          <w:p w14:paraId="71563F7B" w14:textId="77777777" w:rsidR="00590F73" w:rsidRPr="004A774C" w:rsidRDefault="00590F73" w:rsidP="00F95A47">
            <w:pPr>
              <w:pStyle w:val="ITRCTableText"/>
            </w:pPr>
            <w:r w:rsidRPr="004A774C">
              <w:t>N/A</w:t>
            </w:r>
          </w:p>
        </w:tc>
        <w:tc>
          <w:tcPr>
            <w:tcW w:w="2340" w:type="dxa"/>
            <w:tcBorders>
              <w:top w:val="nil"/>
              <w:left w:val="nil"/>
              <w:bottom w:val="single" w:sz="4" w:space="0" w:color="auto"/>
              <w:right w:val="single" w:sz="4" w:space="0" w:color="auto"/>
            </w:tcBorders>
            <w:shd w:val="clear" w:color="auto" w:fill="FFFFD9"/>
            <w:vAlign w:val="center"/>
            <w:hideMark/>
          </w:tcPr>
          <w:p w14:paraId="14CE45FA" w14:textId="71F47A36" w:rsidR="00590F73" w:rsidRPr="004A774C" w:rsidRDefault="00590F73" w:rsidP="00F95A47">
            <w:pPr>
              <w:pStyle w:val="ITRCTableText"/>
            </w:pPr>
            <w:r w:rsidRPr="004A774C">
              <w:t xml:space="preserve">Human (n=150 from Guangzhou, South China; adult </w:t>
            </w:r>
            <w:r>
              <w:t>[</w:t>
            </w:r>
            <w:r w:rsidRPr="004A774C">
              <w:t>50</w:t>
            </w:r>
            <w:r>
              <w:t>]</w:t>
            </w:r>
            <w:r w:rsidRPr="004A774C">
              <w:t xml:space="preserve">, children </w:t>
            </w:r>
            <w:r>
              <w:t>[</w:t>
            </w:r>
            <w:r w:rsidRPr="004A774C">
              <w:t>50</w:t>
            </w:r>
            <w:r>
              <w:t>]</w:t>
            </w:r>
            <w:r w:rsidRPr="004A774C">
              <w:t xml:space="preserve">, pregnant women </w:t>
            </w:r>
            <w:r>
              <w:t>[</w:t>
            </w:r>
            <w:r w:rsidRPr="004A774C">
              <w:t>50</w:t>
            </w:r>
            <w:r>
              <w:t>]</w:t>
            </w:r>
            <w:r w:rsidRPr="004A774C">
              <w:t>)</w:t>
            </w:r>
          </w:p>
        </w:tc>
        <w:tc>
          <w:tcPr>
            <w:tcW w:w="9270" w:type="dxa"/>
            <w:tcBorders>
              <w:top w:val="nil"/>
              <w:left w:val="nil"/>
              <w:bottom w:val="single" w:sz="4" w:space="0" w:color="auto"/>
              <w:right w:val="single" w:sz="4" w:space="0" w:color="auto"/>
            </w:tcBorders>
            <w:shd w:val="clear" w:color="auto" w:fill="FFFFD9"/>
            <w:vAlign w:val="center"/>
            <w:hideMark/>
          </w:tcPr>
          <w:p w14:paraId="031389AE" w14:textId="2D24A38C" w:rsidR="00590F73" w:rsidRDefault="00590F73" w:rsidP="00F95A47">
            <w:pPr>
              <w:pStyle w:val="ITRCTableText"/>
            </w:pPr>
            <w:r w:rsidRPr="004A774C">
              <w:t>Both 6PPD and 6PPD-q were detected in the urine samples (detection frequency between 60% and 100%, respectively). Urinary 6PPD-q concentrations were significantly higher than those of 6PPD and correlated well with those of 6PPD (p</w:t>
            </w:r>
            <w:r>
              <w:t> </w:t>
            </w:r>
            <w:r w:rsidRPr="004A774C">
              <w:t xml:space="preserve">&lt;0.01), indicating </w:t>
            </w:r>
            <w:proofErr w:type="spellStart"/>
            <w:r w:rsidRPr="004A774C">
              <w:t>coexposure</w:t>
            </w:r>
            <w:proofErr w:type="spellEnd"/>
            <w:r w:rsidRPr="004A774C">
              <w:t xml:space="preserve"> to 6PPD and 6PPD-q in humans. 6PPD-q levels in urine were determined to be 0.40, 0.076, and 2.91</w:t>
            </w:r>
            <w:r>
              <w:t> ng/mL</w:t>
            </w:r>
            <w:r w:rsidRPr="004A774C">
              <w:t xml:space="preserve"> in adults, children, and pregnant women</w:t>
            </w:r>
            <w:r>
              <w:t>, respectively</w:t>
            </w:r>
            <w:r w:rsidRPr="004A774C">
              <w:t>. 6PPD measured in urine was 0.018, 0.015, and 0.068</w:t>
            </w:r>
            <w:r>
              <w:t> ng/mL</w:t>
            </w:r>
            <w:r w:rsidRPr="004A774C">
              <w:t xml:space="preserve"> in adults, children and pregnant women, respectively. </w:t>
            </w:r>
            <w:r>
              <w:t>W</w:t>
            </w:r>
            <w:r w:rsidRPr="004A774C">
              <w:t>om</w:t>
            </w:r>
            <w:r>
              <w:t>e</w:t>
            </w:r>
            <w:r w:rsidRPr="004A774C">
              <w:t xml:space="preserve">n had higher urinary concentrations of 6PPD and 6PPD-q than did men. In pregnant women, median concentrations of 6PPD-q were nearly </w:t>
            </w:r>
            <w:r>
              <w:t>two</w:t>
            </w:r>
            <w:r w:rsidRPr="004A774C">
              <w:t xml:space="preserve"> orders of magnitude higher than that of 6PPD.</w:t>
            </w:r>
          </w:p>
          <w:p w14:paraId="4E15BB24" w14:textId="3F518B0A" w:rsidR="00590F73" w:rsidRDefault="00590F73" w:rsidP="00F95A47">
            <w:pPr>
              <w:pStyle w:val="ITRCTableText"/>
            </w:pPr>
            <w:r w:rsidRPr="004A774C">
              <w:t xml:space="preserve">In vitro metabolic experiments demonstrated rapid depletion of 6PPD by human liver microsomes, which could be responsible for the lower concentrations of 6PPD in human urine. </w:t>
            </w:r>
            <w:r>
              <w:t xml:space="preserve">In all, </w:t>
            </w:r>
            <w:r w:rsidRPr="004A774C">
              <w:t>65% of 6PPD was metabolized after three hours of incubation, but the transformation ratio of 6PPD-q was less than 2%</w:t>
            </w:r>
            <w:r>
              <w:t>,</w:t>
            </w:r>
            <w:r w:rsidRPr="004A774C">
              <w:t xml:space="preserve"> which indicates that the biotransformation of 6PPD to 6PPD-q is not the main metabolic pathway for 6PPD in liver metabolism system.</w:t>
            </w:r>
          </w:p>
          <w:p w14:paraId="485F37B3" w14:textId="0A9824B9" w:rsidR="00590F73" w:rsidRPr="004A774C" w:rsidRDefault="00590F73" w:rsidP="00F95A47">
            <w:pPr>
              <w:pStyle w:val="ITRCTableText"/>
            </w:pPr>
            <w:r w:rsidRPr="004A774C">
              <w:t>Estimated daily excretion rates of 6PPD-q in urine of adults, children, and pregnant women (median 11.3, 2.18, 90.9 ng/kg-</w:t>
            </w:r>
            <w:proofErr w:type="spellStart"/>
            <w:r w:rsidRPr="004A774C">
              <w:t>bw</w:t>
            </w:r>
            <w:proofErr w:type="spellEnd"/>
            <w:r w:rsidRPr="004A774C">
              <w:t>/day, respectively) were higher than its parent 6PPD (median 0.51, 0.43, and 2.13 ng/kg-</w:t>
            </w:r>
            <w:proofErr w:type="spellStart"/>
            <w:r w:rsidRPr="004A774C">
              <w:t>bw</w:t>
            </w:r>
            <w:proofErr w:type="spellEnd"/>
            <w:r w:rsidRPr="004A774C">
              <w:t>/day, respectively). Pregnant women had higher daily excretion of 6PPD and 6PPD-q than did adults</w:t>
            </w:r>
            <w:r>
              <w:t xml:space="preserve"> </w:t>
            </w:r>
            <w:r w:rsidRPr="004A774C">
              <w:t>and children, and the high daily excretion of 6PPD-q in urine of pregnant women was up to 247 ng/kg-</w:t>
            </w:r>
            <w:proofErr w:type="spellStart"/>
            <w:r w:rsidRPr="004A774C">
              <w:t>bw</w:t>
            </w:r>
            <w:proofErr w:type="spellEnd"/>
            <w:r w:rsidRPr="004A774C">
              <w:t>/day.</w:t>
            </w:r>
          </w:p>
        </w:tc>
        <w:tc>
          <w:tcPr>
            <w:tcW w:w="3240" w:type="dxa"/>
            <w:tcBorders>
              <w:top w:val="nil"/>
              <w:left w:val="nil"/>
              <w:bottom w:val="single" w:sz="4" w:space="0" w:color="auto"/>
              <w:right w:val="single" w:sz="4" w:space="0" w:color="auto"/>
            </w:tcBorders>
            <w:shd w:val="clear" w:color="auto" w:fill="FFFFD9"/>
            <w:hideMark/>
          </w:tcPr>
          <w:p w14:paraId="07E8AA7E" w14:textId="5DEED2A5" w:rsidR="00590F73" w:rsidRPr="004A774C" w:rsidRDefault="009177FE" w:rsidP="00F95A47">
            <w:pPr>
              <w:pStyle w:val="ITRCTableText"/>
            </w:pPr>
            <w:r>
              <w:fldChar w:fldCharType="begin"/>
            </w:r>
            <w:r>
              <w:instrText xml:space="preserve"> ADDIN ZOTERO_ITEM CSL_CITATION {"citationID":"oZ3UHuth","properties":{"formattedCitation":"(Du et al. 2022)","plainCitation":"(Du et al. 2022)","noteIndex":0},"citationItems":[{"id":1293,"uris":["http://zotero.org/groups/4911552/items/DWFYR89F"],"itemData":{"id":1293,"type":"article-journal","abstract":"N-(1,3-Dimethylbutyl)-N′-phenyl-p-phenylenediamine (6PPD) and its quinone derivative, 6PPD-quinone (6PPD-Q), have been found to be prevalent in the environment, but there are currently no data on their presence in humans. Herein, we conducted the first human biomonitoring study of 6PPD and 6PPD-Q by measuring 150 urine samples collected from three different populations (general adults, children, and pregnant women) in South China. Both 6PPD and 6PPD-Q were detected in the urine samples, with detection frequencies between 60% and 100%. Urinary 6PPD-Q concentrations were significantly higher than those of 6PPD and correlated well with those of 6PPD (p &lt; 0.01), indicating coexposure to 6PPD and 6PPD-Q in humans. In vitro metabolic experiments demonstrated rapid depletion of 6PPD by human liver microsomes, which should be responsible for the lower concentrations of 6PPD in human urine. Additionally, pregnant women exhibited apparently higher concentrations of 6PPD and 6PPD-Q (median 0.068 and 2.91 ng/mL, respectively) than did adults (0.018 and 0.40 ng/mL) and children (0.015 and 0.076 ng/mL). The high daily urinary excretion of 6PPD-Q in pregnant women was estimated to be 273 (ng/kg bw)/day. Considering that 6PPD-Q was a lethal toxicant to multiple aquatic species, the potential human health risks posed by its long-term exposure require urgent attention.","archive_location":"world","container-title":"Environmental Science &amp; Technology Letters","DOI":"10.1021/acs.estlett.2c00821","language":"en","license":"© 2022 American Chemical Society","note":"publisher: American Chemical Society","source":"pubs.acs.org","title":"First Report on the Occurrence of &lt;i&gt;N&lt;/i&gt;-(1,3-Dimethylbutyl)-&lt;i&gt;N′&lt;/i&gt;-phenyl-&lt;i&gt;p&lt;/i&gt;-phenylenediamine (6PPD) and 6PPD-Quinone as Pervasive Pollutants in Human Urine from South China","URL":"https://pubs.acs.org/doi/pdf/10.1021/acs.estlett.2c00821","author":[{"family":"Du","given":"Bibai"},{"family":"Liang","given":"Bowen"},{"family":"Li","given":"Yi"},{"family":"Shen","given":"Mingjie"},{"family":"Liu","given":"Liang-Ying"},{"family":"Zeng","given":"Lixi"}],"accessed":{"date-parts":[["2023",2,8]]},"issued":{"date-parts":[["2022",11,21]]}},"label":"page"}],"schema":"https://github.com/citation-style-language/schema/raw/master/csl-citation.json"} </w:instrText>
            </w:r>
            <w:r>
              <w:fldChar w:fldCharType="separate"/>
            </w:r>
            <w:r w:rsidRPr="009177FE">
              <w:t>(Du et al. 2022)</w:t>
            </w:r>
            <w:r>
              <w:fldChar w:fldCharType="end"/>
            </w:r>
            <w:r>
              <w:br/>
            </w:r>
            <w:hyperlink r:id="rId39" w:history="1">
              <w:r w:rsidR="00590F73" w:rsidRPr="00E57172">
                <w:rPr>
                  <w:rStyle w:val="Hyperlink"/>
                </w:rPr>
                <w:t>https://doi.org/10.1021/acs.estlett.2c00821</w:t>
              </w:r>
            </w:hyperlink>
          </w:p>
        </w:tc>
      </w:tr>
    </w:tbl>
    <w:p w14:paraId="41DD3DB1" w14:textId="73A0B889" w:rsidR="00DE48E3" w:rsidRDefault="00FD72E9" w:rsidP="00DE48E3">
      <w:r>
        <w:t xml:space="preserve">Notes: </w:t>
      </w:r>
      <w:proofErr w:type="spellStart"/>
      <w:r w:rsidR="00A65B60" w:rsidRPr="004A774C">
        <w:t>μg</w:t>
      </w:r>
      <w:proofErr w:type="spellEnd"/>
      <w:r w:rsidR="00A65B60" w:rsidRPr="004A774C">
        <w:t>/kg</w:t>
      </w:r>
      <w:r w:rsidR="00A65B60">
        <w:t>=micrograms per kilogram</w:t>
      </w:r>
      <w:r w:rsidR="00E10869">
        <w:t>,</w:t>
      </w:r>
      <w:r w:rsidR="00A3554E">
        <w:t xml:space="preserve"> </w:t>
      </w:r>
      <w:proofErr w:type="spellStart"/>
      <w:r w:rsidR="003A0396" w:rsidRPr="004A774C">
        <w:t>μg</w:t>
      </w:r>
      <w:proofErr w:type="spellEnd"/>
      <w:r w:rsidR="003A0396" w:rsidRPr="004A774C">
        <w:t>/</w:t>
      </w:r>
      <w:r w:rsidR="003A0396">
        <w:t xml:space="preserve">mL=micrograms per </w:t>
      </w:r>
      <w:r w:rsidR="00886699">
        <w:t>milliliter</w:t>
      </w:r>
      <w:r w:rsidR="003A0396">
        <w:t xml:space="preserve">, </w:t>
      </w:r>
      <w:proofErr w:type="spellStart"/>
      <w:r w:rsidR="00A3554E">
        <w:t>μM</w:t>
      </w:r>
      <w:proofErr w:type="spellEnd"/>
      <w:r w:rsidR="00FD2FF8">
        <w:t>=micromolar</w:t>
      </w:r>
      <w:r w:rsidR="00E10869">
        <w:t xml:space="preserve"> </w:t>
      </w:r>
      <w:r w:rsidR="00553980">
        <w:t>ADME=</w:t>
      </w:r>
      <w:r w:rsidR="00CD5539">
        <w:t>a</w:t>
      </w:r>
      <w:r w:rsidR="00CD5539" w:rsidRPr="00CD5539">
        <w:t>bsorption, distribution, metabolism, and excretion</w:t>
      </w:r>
      <w:r w:rsidR="00553980">
        <w:t>,</w:t>
      </w:r>
      <w:r w:rsidR="00A32951" w:rsidRPr="00A32951">
        <w:t xml:space="preserve"> </w:t>
      </w:r>
      <w:r w:rsidR="00A32951">
        <w:t>ALP=</w:t>
      </w:r>
      <w:r w:rsidR="00A32951" w:rsidRPr="004A774C">
        <w:t>alkaline phosphatase</w:t>
      </w:r>
      <w:r w:rsidR="00A32951">
        <w:t xml:space="preserve">, </w:t>
      </w:r>
      <w:r>
        <w:t>ALT=</w:t>
      </w:r>
      <w:r w:rsidRPr="004A774C">
        <w:t>alanine aminotransferase</w:t>
      </w:r>
      <w:r>
        <w:t>, AST=</w:t>
      </w:r>
      <w:r w:rsidRPr="004A774C">
        <w:t>aspartate aminotransferase</w:t>
      </w:r>
      <w:r w:rsidR="00553980">
        <w:t xml:space="preserve">, </w:t>
      </w:r>
      <w:r w:rsidR="008A3BF9" w:rsidRPr="008A3BF9">
        <w:t>A</w:t>
      </w:r>
      <w:r w:rsidR="008A3BF9">
        <w:t>TP=a</w:t>
      </w:r>
      <w:r w:rsidR="008A3BF9" w:rsidRPr="008A3BF9">
        <w:t>denosine triphosphate</w:t>
      </w:r>
      <w:r w:rsidR="008A3BF9">
        <w:t>,</w:t>
      </w:r>
      <w:r w:rsidR="008A3BF9" w:rsidRPr="008A3BF9">
        <w:t xml:space="preserve"> </w:t>
      </w:r>
      <w:r w:rsidR="00047756">
        <w:t>DNA=</w:t>
      </w:r>
      <w:r w:rsidR="00047756" w:rsidRPr="00047756">
        <w:t xml:space="preserve"> </w:t>
      </w:r>
      <w:r w:rsidR="00047756">
        <w:t>d</w:t>
      </w:r>
      <w:r w:rsidR="00047756" w:rsidRPr="002D1335">
        <w:t>eoxyribonucleic acid</w:t>
      </w:r>
      <w:r w:rsidR="00047756">
        <w:t xml:space="preserve">, </w:t>
      </w:r>
      <w:r w:rsidR="00E10869">
        <w:t>LOAEL=lowest observed adverse effect level,</w:t>
      </w:r>
      <w:r w:rsidR="00A32951">
        <w:t xml:space="preserve"> </w:t>
      </w:r>
      <w:r w:rsidR="00553980">
        <w:t>mg/kg</w:t>
      </w:r>
      <w:r w:rsidR="00553980">
        <w:noBreakHyphen/>
      </w:r>
      <w:proofErr w:type="spellStart"/>
      <w:r w:rsidR="00553980">
        <w:t>bw</w:t>
      </w:r>
      <w:proofErr w:type="spellEnd"/>
      <w:r w:rsidR="00553980">
        <w:t>=milligrams per kilogram of body weight</w:t>
      </w:r>
      <w:r w:rsidR="008647A1">
        <w:t>, mg/L=milligram</w:t>
      </w:r>
      <w:r w:rsidR="00A65B60">
        <w:t>s</w:t>
      </w:r>
      <w:r w:rsidR="008647A1">
        <w:t xml:space="preserve"> per liter, ng/mL=</w:t>
      </w:r>
      <w:r w:rsidR="00F677C6">
        <w:t>nanograms per milliliter,</w:t>
      </w:r>
      <w:r w:rsidR="001F0408">
        <w:t xml:space="preserve"> </w:t>
      </w:r>
      <w:proofErr w:type="spellStart"/>
      <w:r w:rsidR="002700D7">
        <w:t>nM</w:t>
      </w:r>
      <w:proofErr w:type="spellEnd"/>
      <w:r w:rsidR="002700D7">
        <w:t>=nano</w:t>
      </w:r>
      <w:r w:rsidR="00EC00A2">
        <w:t>molar</w:t>
      </w:r>
      <w:r w:rsidR="002700D7">
        <w:t xml:space="preserve">, </w:t>
      </w:r>
      <w:r w:rsidR="00E10869">
        <w:t>NOAEL=n</w:t>
      </w:r>
      <w:r w:rsidR="00E10869" w:rsidRPr="00EF24DA">
        <w:t>o observed adverse effect level</w:t>
      </w:r>
      <w:r w:rsidR="00E10869">
        <w:t xml:space="preserve">, </w:t>
      </w:r>
      <w:r w:rsidR="002700D7">
        <w:t>NOEL=</w:t>
      </w:r>
      <w:r w:rsidR="002700D7" w:rsidRPr="002700D7">
        <w:t xml:space="preserve"> </w:t>
      </w:r>
      <w:r w:rsidR="002700D7">
        <w:t>n</w:t>
      </w:r>
      <w:r w:rsidR="002700D7" w:rsidRPr="00EF24DA">
        <w:t>o observed effect level</w:t>
      </w:r>
      <w:r w:rsidR="002700D7">
        <w:t xml:space="preserve">, </w:t>
      </w:r>
      <w:r w:rsidR="001F0408">
        <w:t>PFF=</w:t>
      </w:r>
      <w:r w:rsidR="0059694C" w:rsidRPr="0059694C">
        <w:t>preformed fibrils</w:t>
      </w:r>
      <w:r w:rsidR="00705FA0">
        <w:t xml:space="preserve">, </w:t>
      </w:r>
      <w:r w:rsidR="00FC0328">
        <w:t xml:space="preserve">ppm=parts per million, </w:t>
      </w:r>
      <w:r w:rsidR="00705FA0" w:rsidRPr="004A774C">
        <w:t>RARα</w:t>
      </w:r>
      <w:r w:rsidR="00705FA0">
        <w:t>=</w:t>
      </w:r>
      <w:r w:rsidR="00705FA0" w:rsidRPr="004A774C">
        <w:t>retinoic acid receptor α</w:t>
      </w:r>
      <w:r w:rsidR="00705FA0">
        <w:t xml:space="preserve">, </w:t>
      </w:r>
      <w:r w:rsidR="00705FA0" w:rsidRPr="004A774C">
        <w:t>RXRα</w:t>
      </w:r>
      <w:r w:rsidR="00705FA0">
        <w:t>=</w:t>
      </w:r>
      <w:r w:rsidR="00705FA0" w:rsidRPr="004A774C">
        <w:t>retinoid X receptor α</w:t>
      </w:r>
    </w:p>
    <w:p w14:paraId="4FEFB28D" w14:textId="48914FEF" w:rsidR="00FD72E9" w:rsidRPr="00FD2FF8" w:rsidRDefault="00FD2FF8" w:rsidP="00DE48E3">
      <w:pPr>
        <w:rPr>
          <w:b/>
          <w:bCs/>
        </w:rPr>
      </w:pPr>
      <w:r w:rsidRPr="00FD2FF8">
        <w:rPr>
          <w:b/>
          <w:bCs/>
        </w:rPr>
        <w:t>References</w:t>
      </w:r>
    </w:p>
    <w:p w14:paraId="75376714" w14:textId="77777777" w:rsidR="00D2599F" w:rsidRPr="00D2599F" w:rsidRDefault="0083303D" w:rsidP="00D2599F">
      <w:pPr>
        <w:pStyle w:val="Bibliography"/>
      </w:pPr>
      <w:r>
        <w:fldChar w:fldCharType="begin"/>
      </w:r>
      <w:r>
        <w:instrText xml:space="preserve"> ADDIN ZOTERO_BIBL {"uncited":[],"omitted":[],"custom":[]} CSL_BIBLIOGRAPHY </w:instrText>
      </w:r>
      <w:r>
        <w:fldChar w:fldCharType="separate"/>
      </w:r>
      <w:r w:rsidR="00D2599F" w:rsidRPr="00D2599F">
        <w:t xml:space="preserve">Du, Bibai, Bowen Liang, Yi Li, Mingjie Shen, Liang-Ying Liu, and Lixi Zeng. 2022. “First Report on the Occurrence of </w:t>
      </w:r>
      <w:r w:rsidR="00D2599F" w:rsidRPr="00D2599F">
        <w:rPr>
          <w:i/>
          <w:iCs/>
        </w:rPr>
        <w:t>N</w:t>
      </w:r>
      <w:r w:rsidR="00D2599F" w:rsidRPr="00D2599F">
        <w:t>-(1,3-Dimethylbutyl)-</w:t>
      </w:r>
      <w:r w:rsidR="00D2599F" w:rsidRPr="00D2599F">
        <w:rPr>
          <w:i/>
          <w:iCs/>
        </w:rPr>
        <w:t>N′</w:t>
      </w:r>
      <w:r w:rsidR="00D2599F" w:rsidRPr="00D2599F">
        <w:t>-Phenyl-</w:t>
      </w:r>
      <w:r w:rsidR="00D2599F" w:rsidRPr="00D2599F">
        <w:rPr>
          <w:i/>
          <w:iCs/>
        </w:rPr>
        <w:t>p</w:t>
      </w:r>
      <w:r w:rsidR="00D2599F" w:rsidRPr="00D2599F">
        <w:t xml:space="preserve">-Phenylenediamine (6PPD) and 6PPD-Quinone as Pervasive Pollutants in Human Urine from South China.” </w:t>
      </w:r>
      <w:r w:rsidR="00D2599F" w:rsidRPr="00D2599F">
        <w:rPr>
          <w:i/>
          <w:iCs/>
        </w:rPr>
        <w:t>Environmental Science &amp; Technology Letters</w:t>
      </w:r>
      <w:r w:rsidR="00D2599F" w:rsidRPr="00D2599F">
        <w:t>, November. https://doi.org/10.1021/acs.estlett.2c00821.</w:t>
      </w:r>
    </w:p>
    <w:p w14:paraId="697A5868" w14:textId="77777777" w:rsidR="00D2599F" w:rsidRPr="00D2599F" w:rsidRDefault="00D2599F" w:rsidP="00D2599F">
      <w:pPr>
        <w:pStyle w:val="Bibliography"/>
      </w:pPr>
      <w:r w:rsidRPr="00D2599F">
        <w:t>ECHA. 2023. “CLH Report for N-1,3-Dimethylbutyl-N’-Phenyl-p-Phenylenediamine.” Registry of CLH Intentions Until Outcome. Helsinki, Finland: ECHA: European Chemicals Agency. https://echa.europa.eu/documents/10162/2d0a7ea4-0e57-fff1-3412-92c929f4129e.</w:t>
      </w:r>
    </w:p>
    <w:p w14:paraId="159E8E96" w14:textId="77777777" w:rsidR="00D2599F" w:rsidRPr="00D2599F" w:rsidRDefault="00D2599F" w:rsidP="00D2599F">
      <w:pPr>
        <w:pStyle w:val="Bibliography"/>
      </w:pPr>
      <w:r w:rsidRPr="00D2599F">
        <w:t xml:space="preserve">Fang, Jiacheng, Xiaoxiao Wang, Guodong Cao, Fuyue Wang, Yi Ru, Bolun Wang, Yanhao Zhang, et al. 2024. “6PPD-Quinone Exposure Induces Neuronal Mitochondrial Dysfunction to Exacerbate Lewy Neurites Formation Induced by α-Synuclein Preformed Fibrils Seeding.” </w:t>
      </w:r>
      <w:r w:rsidRPr="00D2599F">
        <w:rPr>
          <w:i/>
          <w:iCs/>
        </w:rPr>
        <w:t>Journal of Hazardous Materials</w:t>
      </w:r>
      <w:r w:rsidRPr="00D2599F">
        <w:t xml:space="preserve"> 465 (March):133312. https://doi.org/10.1016/j.jhazmat.2023.133312.</w:t>
      </w:r>
    </w:p>
    <w:p w14:paraId="7ED0CD2E" w14:textId="77777777" w:rsidR="00D2599F" w:rsidRPr="00D2599F" w:rsidRDefault="00D2599F" w:rsidP="00D2599F">
      <w:pPr>
        <w:pStyle w:val="Bibliography"/>
      </w:pPr>
      <w:r w:rsidRPr="00D2599F">
        <w:t xml:space="preserve">Fang, Liya, Chanlin Fang, Shanshan Di, Yundong Yu, Caihong Wang, Xinquan Wang, and Yuanxiang Jin. 2023. “Oral Exposure to Tire Rubber–Derived Contaminant 6PPD and 6PPD-Quinone Induce Hepatotoxicity in Mice.” </w:t>
      </w:r>
      <w:r w:rsidRPr="00D2599F">
        <w:rPr>
          <w:i/>
          <w:iCs/>
        </w:rPr>
        <w:t>Science of the Total Environment</w:t>
      </w:r>
      <w:r w:rsidRPr="00D2599F">
        <w:t xml:space="preserve"> 869 (April):161836. https://doi.org/10.1016/j.scitotenv.2023.161836.</w:t>
      </w:r>
    </w:p>
    <w:p w14:paraId="2B5C62DC" w14:textId="77777777" w:rsidR="00D2599F" w:rsidRPr="00D2599F" w:rsidRDefault="00D2599F" w:rsidP="00D2599F">
      <w:pPr>
        <w:pStyle w:val="Bibliography"/>
      </w:pPr>
      <w:r w:rsidRPr="00D2599F">
        <w:lastRenderedPageBreak/>
        <w:t>Hatano Research Institute. 1999. “N-(1,3- Dimethylbutyl)-N’-Phenyl-p-Phenylenediamine – Summary.” Toxicity Testing Reports of Environmental Chemicals 7. https://dra4.nihs.go.jp/mhlw_data/home/file/file793-24-8.html.</w:t>
      </w:r>
    </w:p>
    <w:p w14:paraId="12496339" w14:textId="77777777" w:rsidR="00D2599F" w:rsidRPr="00D2599F" w:rsidRDefault="00D2599F" w:rsidP="00D2599F">
      <w:pPr>
        <w:pStyle w:val="Bibliography"/>
      </w:pPr>
      <w:r w:rsidRPr="00D2599F">
        <w:t xml:space="preserve">He, Wenmiao, Aihua Gu, and Dayong Wang. 2023. “Four-Week Repeated Exposure to Tire-Derived 6-PPD Quinone Causes Multiple Organ Injury in Male BALB/c Mice.” </w:t>
      </w:r>
      <w:r w:rsidRPr="00D2599F">
        <w:rPr>
          <w:i/>
          <w:iCs/>
        </w:rPr>
        <w:t>Science of the Total Environment</w:t>
      </w:r>
      <w:r w:rsidRPr="00D2599F">
        <w:t xml:space="preserve"> 894 (October):164842. https://doi.org/10.1016/j.scitotenv.2023.164842.</w:t>
      </w:r>
    </w:p>
    <w:p w14:paraId="24703842" w14:textId="77777777" w:rsidR="00D2599F" w:rsidRPr="00D2599F" w:rsidRDefault="00D2599F" w:rsidP="00D2599F">
      <w:pPr>
        <w:pStyle w:val="Bibliography"/>
      </w:pPr>
      <w:r w:rsidRPr="00D2599F">
        <w:t xml:space="preserve">Hua, Xin, Xiao Feng, Geyu Liang, Jie Chao, and Dayong Wang. 2023. “Long-Term Exposure to 6-PPD Quinone Reduces Reproductive Capacity by Enhancing Germline Apoptosis Associated with Activation of Both DNA Damage and Cell Corpse Engulfment in </w:t>
      </w:r>
      <w:r w:rsidRPr="00D2599F">
        <w:rPr>
          <w:i/>
          <w:iCs/>
        </w:rPr>
        <w:t>Caenorhabditis elegans</w:t>
      </w:r>
      <w:r w:rsidRPr="00D2599F">
        <w:t xml:space="preserve">.” </w:t>
      </w:r>
      <w:r w:rsidRPr="00D2599F">
        <w:rPr>
          <w:i/>
          <w:iCs/>
        </w:rPr>
        <w:t>Journal of Hazardous Materials</w:t>
      </w:r>
      <w:r w:rsidRPr="00D2599F">
        <w:t xml:space="preserve"> 454 (July):131495. https://doi.org/10.1016/j.jhazmat.2023.131495.</w:t>
      </w:r>
    </w:p>
    <w:p w14:paraId="002AF873" w14:textId="77777777" w:rsidR="00D2599F" w:rsidRPr="00D2599F" w:rsidRDefault="00D2599F" w:rsidP="00D2599F">
      <w:pPr>
        <w:pStyle w:val="Bibliography"/>
      </w:pPr>
      <w:r w:rsidRPr="00D2599F">
        <w:t xml:space="preserve">Mao, Weili, Hangbiao Jin, Ruyue Guo, Ping Chen, Songyang Zhong, and Xilin Wu. 2024. “Occurrence of </w:t>
      </w:r>
      <w:r w:rsidRPr="00D2599F">
        <w:rPr>
          <w:i/>
          <w:iCs/>
        </w:rPr>
        <w:t>p</w:t>
      </w:r>
      <w:r w:rsidRPr="00D2599F">
        <w:t xml:space="preserve">-Phenylenediamine Antioxidants in Human Urine.” </w:t>
      </w:r>
      <w:r w:rsidRPr="00D2599F">
        <w:rPr>
          <w:i/>
          <w:iCs/>
        </w:rPr>
        <w:t>Science of the Total Environment</w:t>
      </w:r>
      <w:r w:rsidRPr="00D2599F">
        <w:t xml:space="preserve"> 914 (March):170045. https://doi.org/10.1016/j.scitotenv.2024.170045.</w:t>
      </w:r>
    </w:p>
    <w:p w14:paraId="0B89F74C" w14:textId="77777777" w:rsidR="00D2599F" w:rsidRPr="00D2599F" w:rsidRDefault="00D2599F" w:rsidP="00D2599F">
      <w:pPr>
        <w:pStyle w:val="Bibliography"/>
      </w:pPr>
      <w:r w:rsidRPr="00D2599F">
        <w:t>OECD. 2004. “SIDS Initial Assessment Report for N-(1,3-Dimethylbutyl)-N´-Phenyl-1,4-Phenylenediamine (6PPD), Organisation for Economic Co-Operation and Development (OECD).” https://hpvchemicals.oecd.org/UI/handler.axd?id=5e1a446c-5969-479c-9270-7ced8726952e.</w:t>
      </w:r>
    </w:p>
    <w:p w14:paraId="46E0D5D5" w14:textId="77777777" w:rsidR="00D2599F" w:rsidRPr="00D2599F" w:rsidRDefault="00D2599F" w:rsidP="00D2599F">
      <w:pPr>
        <w:pStyle w:val="Bibliography"/>
      </w:pPr>
      <w:r w:rsidRPr="00D2599F">
        <w:t xml:space="preserve">Yamano, Tetsuo, and Mitsuru Shimizu. 2009. “Skin Sensitization Potency and Cross‐reactivity of </w:t>
      </w:r>
      <w:r w:rsidRPr="00D2599F">
        <w:rPr>
          <w:i/>
          <w:iCs/>
        </w:rPr>
        <w:t>p</w:t>
      </w:r>
      <w:r w:rsidRPr="00D2599F">
        <w:t xml:space="preserve"> ‐phenylenediamine and Its Derivatives Evaluated by Non‐radioactive Murine Local Lymph Node Assay and Guinea‐pig Maximization Test.” </w:t>
      </w:r>
      <w:r w:rsidRPr="00D2599F">
        <w:rPr>
          <w:i/>
          <w:iCs/>
        </w:rPr>
        <w:t>Contact Dermatitis</w:t>
      </w:r>
      <w:r w:rsidRPr="00D2599F">
        <w:t xml:space="preserve"> 60 (4): 193–98. https://doi.org/10.1111/j.1600-0536.2008.01500.x.</w:t>
      </w:r>
    </w:p>
    <w:p w14:paraId="3A782F93" w14:textId="77777777" w:rsidR="00D2599F" w:rsidRPr="00D2599F" w:rsidRDefault="00D2599F" w:rsidP="00D2599F">
      <w:pPr>
        <w:pStyle w:val="Bibliography"/>
      </w:pPr>
      <w:r w:rsidRPr="00D2599F">
        <w:t xml:space="preserve">Zhang, Jing, Guodong Cao, Wei Wang, Han Qiao, Yi Chen, Xiaoxiao Wang, Fuyue Wang, Wenlan Liu, and Zongwei Cai. 2024. “Stable Isotope-Assisted Mass Spectrometry Reveals in Vivo Distribution, Metabolism, and Excretion of Tire Rubber-Derived 6PPD-Quinone in Mice.” </w:t>
      </w:r>
      <w:r w:rsidRPr="00D2599F">
        <w:rPr>
          <w:i/>
          <w:iCs/>
        </w:rPr>
        <w:t>Science of the Total Environment</w:t>
      </w:r>
      <w:r w:rsidRPr="00D2599F">
        <w:t xml:space="preserve"> 912 (February):169291. https://doi.org/10.1016/j.scitotenv.2023.169291.</w:t>
      </w:r>
    </w:p>
    <w:p w14:paraId="2FC5F7D7" w14:textId="77777777" w:rsidR="00D2599F" w:rsidRPr="00D2599F" w:rsidRDefault="00D2599F" w:rsidP="00D2599F">
      <w:pPr>
        <w:pStyle w:val="Bibliography"/>
      </w:pPr>
      <w:r w:rsidRPr="00D2599F">
        <w:t xml:space="preserve">Zhao, Haoqi Nina, Sydney P. Thomas, Mark J. Zylka, Pieter C. Dorrestein, and Wenxin Hu. 2023. “Urine Excretion, Organ Distribution, and Placental Transfer of 6PPD and 6PPD-Quinone in Mice and Potential Developmental Toxicity through Nuclear Receptor Pathways.” </w:t>
      </w:r>
      <w:r w:rsidRPr="00D2599F">
        <w:rPr>
          <w:i/>
          <w:iCs/>
        </w:rPr>
        <w:t>Environmental Science &amp; Technology</w:t>
      </w:r>
      <w:r w:rsidRPr="00D2599F">
        <w:t>, August. https://doi.org/10.1021/acs.est.3c05026.</w:t>
      </w:r>
    </w:p>
    <w:p w14:paraId="47C12AB3" w14:textId="41447A8B" w:rsidR="00A32951" w:rsidRPr="00DE48E3" w:rsidRDefault="0083303D" w:rsidP="00DE48E3">
      <w:r>
        <w:fldChar w:fldCharType="end"/>
      </w:r>
    </w:p>
    <w:sectPr w:rsidR="00A32951" w:rsidRPr="00DE48E3" w:rsidSect="00FD2FF8">
      <w:headerReference w:type="default" r:id="rId40"/>
      <w:footerReference w:type="default" r:id="rId41"/>
      <w:footnotePr>
        <w:numRestart w:val="eachSect"/>
      </w:footnotePr>
      <w:endnotePr>
        <w:numFmt w:val="decimal"/>
      </w:endnotePr>
      <w:pgSz w:w="24480" w:h="15840" w:orient="landscape" w:code="3"/>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56A11" w14:textId="77777777" w:rsidR="006C54B3" w:rsidRDefault="006C54B3">
      <w:r>
        <w:separator/>
      </w:r>
    </w:p>
    <w:p w14:paraId="2EF2D0F0" w14:textId="77777777" w:rsidR="006C54B3" w:rsidRDefault="006C54B3"/>
  </w:endnote>
  <w:endnote w:type="continuationSeparator" w:id="0">
    <w:p w14:paraId="0A1C45B2" w14:textId="77777777" w:rsidR="006C54B3" w:rsidRDefault="006C54B3">
      <w:r>
        <w:continuationSeparator/>
      </w:r>
    </w:p>
    <w:p w14:paraId="79AA6539" w14:textId="77777777" w:rsidR="006C54B3" w:rsidRDefault="006C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EB43" w14:textId="7E7E8CE5" w:rsidR="007258F3" w:rsidRPr="00D42623" w:rsidRDefault="00D07887" w:rsidP="00D07887">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A85D6C">
      <w:rPr>
        <w:rStyle w:val="PageNumber"/>
        <w:rFonts w:eastAsiaTheme="majorEastAsia"/>
      </w:rPr>
      <w:t>9</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95CD5" w14:textId="77777777" w:rsidR="006C54B3" w:rsidRDefault="006C54B3">
      <w:r>
        <w:separator/>
      </w:r>
    </w:p>
    <w:p w14:paraId="7C4B17BD" w14:textId="77777777" w:rsidR="006C54B3" w:rsidRDefault="006C54B3"/>
  </w:footnote>
  <w:footnote w:type="continuationSeparator" w:id="0">
    <w:p w14:paraId="4B77E72B" w14:textId="77777777" w:rsidR="006C54B3" w:rsidRDefault="006C54B3">
      <w:r>
        <w:continuationSeparator/>
      </w:r>
    </w:p>
    <w:p w14:paraId="51EC2C7E" w14:textId="77777777" w:rsidR="006C54B3" w:rsidRDefault="006C5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5F6C" w14:textId="1B93F0DA" w:rsidR="009724A5" w:rsidRDefault="009724A5" w:rsidP="009724A5">
    <w:pPr>
      <w:pStyle w:val="Header"/>
      <w:tabs>
        <w:tab w:val="clear" w:pos="4320"/>
        <w:tab w:val="clear" w:pos="8640"/>
        <w:tab w:val="center" w:pos="10800"/>
        <w:tab w:val="right" w:pos="21600"/>
      </w:tabs>
    </w:pPr>
    <w:r>
      <w:t xml:space="preserve">ITRC Tire Anti-Degradants (6PPD) Team </w:t>
    </w:r>
    <w:r>
      <w:tab/>
    </w:r>
    <w:r>
      <w:tab/>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1"/>
    <w:multiLevelType w:val="hybridMultilevel"/>
    <w:tmpl w:val="F4503754"/>
    <w:lvl w:ilvl="0" w:tplc="21FC46A6">
      <w:start w:val="1"/>
      <w:numFmt w:val="bullet"/>
      <w:lvlText w:val=""/>
      <w:lvlJc w:val="left"/>
      <w:pPr>
        <w:tabs>
          <w:tab w:val="num" w:pos="360"/>
        </w:tabs>
        <w:ind w:left="360" w:hanging="360"/>
      </w:pPr>
      <w:rPr>
        <w:rFonts w:ascii="Symbol" w:hAnsi="Symbol" w:cs="Times New Roman" w:hint="default"/>
      </w:rPr>
    </w:lvl>
    <w:lvl w:ilvl="1" w:tplc="CF0824F8">
      <w:start w:val="1"/>
      <w:numFmt w:val="bullet"/>
      <w:lvlText w:val=""/>
      <w:lvlJc w:val="left"/>
      <w:pPr>
        <w:tabs>
          <w:tab w:val="num" w:pos="1440"/>
        </w:tabs>
        <w:ind w:left="1440" w:hanging="360"/>
      </w:pPr>
      <w:rPr>
        <w:rFonts w:ascii="WP TypographicSymbols" w:hAnsi="WP TypographicSymbols" w:hint="default"/>
      </w:rPr>
    </w:lvl>
    <w:lvl w:ilvl="2" w:tplc="21FC46A6">
      <w:start w:val="1"/>
      <w:numFmt w:val="bullet"/>
      <w:lvlText w:val=""/>
      <w:lvlJc w:val="left"/>
      <w:pPr>
        <w:tabs>
          <w:tab w:val="num" w:pos="2160"/>
        </w:tabs>
        <w:ind w:left="2160" w:hanging="360"/>
      </w:pPr>
      <w:rPr>
        <w:rFonts w:ascii="Symbol"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51D1"/>
    <w:multiLevelType w:val="hybridMultilevel"/>
    <w:tmpl w:val="06F08F04"/>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20D"/>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EA7B2B"/>
    <w:multiLevelType w:val="hybridMultilevel"/>
    <w:tmpl w:val="211A40E6"/>
    <w:lvl w:ilvl="0" w:tplc="DC3EF95E">
      <w:start w:val="1"/>
      <w:numFmt w:val="bullet"/>
      <w:pStyle w:val="ITRC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51FA"/>
    <w:multiLevelType w:val="hybridMultilevel"/>
    <w:tmpl w:val="38A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2DDB"/>
    <w:multiLevelType w:val="singleLevel"/>
    <w:tmpl w:val="DAFEE1E6"/>
    <w:lvl w:ilvl="0">
      <w:start w:val="1"/>
      <w:numFmt w:val="decimal"/>
      <w:lvlText w:val="%1."/>
      <w:lvlJc w:val="left"/>
      <w:pPr>
        <w:tabs>
          <w:tab w:val="num" w:pos="1080"/>
        </w:tabs>
        <w:ind w:left="1080" w:hanging="360"/>
      </w:pPr>
      <w:rPr>
        <w:rFonts w:hint="default"/>
      </w:rPr>
    </w:lvl>
  </w:abstractNum>
  <w:abstractNum w:abstractNumId="6" w15:restartNumberingAfterBreak="0">
    <w:nsid w:val="102460FB"/>
    <w:multiLevelType w:val="hybridMultilevel"/>
    <w:tmpl w:val="A0C4E69E"/>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B55EC"/>
    <w:multiLevelType w:val="singleLevel"/>
    <w:tmpl w:val="FE28ED16"/>
    <w:lvl w:ilvl="0">
      <w:start w:val="1"/>
      <w:numFmt w:val="decimal"/>
      <w:lvlText w:val="%1."/>
      <w:lvlJc w:val="left"/>
      <w:pPr>
        <w:tabs>
          <w:tab w:val="num" w:pos="1080"/>
        </w:tabs>
        <w:ind w:left="1080" w:hanging="360"/>
      </w:pPr>
      <w:rPr>
        <w:rFonts w:hint="default"/>
      </w:rPr>
    </w:lvl>
  </w:abstractNum>
  <w:abstractNum w:abstractNumId="8" w15:restartNumberingAfterBreak="0">
    <w:nsid w:val="1EA275E0"/>
    <w:multiLevelType w:val="hybridMultilevel"/>
    <w:tmpl w:val="C3621E52"/>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252C"/>
    <w:multiLevelType w:val="hybridMultilevel"/>
    <w:tmpl w:val="84961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54896"/>
    <w:multiLevelType w:val="hybridMultilevel"/>
    <w:tmpl w:val="CCD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F3764"/>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781769"/>
    <w:multiLevelType w:val="hybridMultilevel"/>
    <w:tmpl w:val="9E300C06"/>
    <w:lvl w:ilvl="0" w:tplc="C054DE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21325"/>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3700937"/>
    <w:multiLevelType w:val="multilevel"/>
    <w:tmpl w:val="6C38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76A71"/>
    <w:multiLevelType w:val="multilevel"/>
    <w:tmpl w:val="5B36A5D2"/>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B851B50"/>
    <w:multiLevelType w:val="hybridMultilevel"/>
    <w:tmpl w:val="174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609A0"/>
    <w:multiLevelType w:val="hybridMultilevel"/>
    <w:tmpl w:val="D2B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5705B"/>
    <w:multiLevelType w:val="hybridMultilevel"/>
    <w:tmpl w:val="3D7069EA"/>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D1439"/>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DC6C0B"/>
    <w:multiLevelType w:val="hybridMultilevel"/>
    <w:tmpl w:val="0CF43F3C"/>
    <w:lvl w:ilvl="0" w:tplc="39642180">
      <w:start w:val="1"/>
      <w:numFmt w:val="upperLetter"/>
      <w:pStyle w:val="ITRCAppendix0lvlsectionheading"/>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C356F"/>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2198F"/>
    <w:multiLevelType w:val="hybridMultilevel"/>
    <w:tmpl w:val="67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1405D"/>
    <w:multiLevelType w:val="hybridMultilevel"/>
    <w:tmpl w:val="FB9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C7C1B"/>
    <w:multiLevelType w:val="multilevel"/>
    <w:tmpl w:val="2EACC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4A4305F"/>
    <w:multiLevelType w:val="hybridMultilevel"/>
    <w:tmpl w:val="B2620F66"/>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73B6D"/>
    <w:multiLevelType w:val="hybridMultilevel"/>
    <w:tmpl w:val="AD9847C6"/>
    <w:lvl w:ilvl="0" w:tplc="F1E8E9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22CD0"/>
    <w:multiLevelType w:val="hybridMultilevel"/>
    <w:tmpl w:val="C5CCD0F0"/>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B14F7F"/>
    <w:multiLevelType w:val="hybridMultilevel"/>
    <w:tmpl w:val="F7E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234B0"/>
    <w:multiLevelType w:val="hybridMultilevel"/>
    <w:tmpl w:val="1EF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E4A30"/>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2075D9"/>
    <w:multiLevelType w:val="hybridMultilevel"/>
    <w:tmpl w:val="A9E8BB5C"/>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6AE3"/>
    <w:multiLevelType w:val="hybridMultilevel"/>
    <w:tmpl w:val="9DA40E76"/>
    <w:lvl w:ilvl="0" w:tplc="0CDCA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45880">
    <w:abstractNumId w:val="31"/>
  </w:num>
  <w:num w:numId="2" w16cid:durableId="1431271268">
    <w:abstractNumId w:val="8"/>
  </w:num>
  <w:num w:numId="3" w16cid:durableId="1958557675">
    <w:abstractNumId w:val="18"/>
  </w:num>
  <w:num w:numId="4" w16cid:durableId="967396169">
    <w:abstractNumId w:val="7"/>
  </w:num>
  <w:num w:numId="5" w16cid:durableId="1545143237">
    <w:abstractNumId w:val="5"/>
  </w:num>
  <w:num w:numId="6" w16cid:durableId="1072849369">
    <w:abstractNumId w:val="25"/>
  </w:num>
  <w:num w:numId="7" w16cid:durableId="1720323368">
    <w:abstractNumId w:val="0"/>
  </w:num>
  <w:num w:numId="8" w16cid:durableId="1085103742">
    <w:abstractNumId w:val="1"/>
  </w:num>
  <w:num w:numId="9" w16cid:durableId="2025016861">
    <w:abstractNumId w:val="6"/>
  </w:num>
  <w:num w:numId="10" w16cid:durableId="469904978">
    <w:abstractNumId w:val="27"/>
  </w:num>
  <w:num w:numId="11" w16cid:durableId="5638917">
    <w:abstractNumId w:val="26"/>
  </w:num>
  <w:num w:numId="12" w16cid:durableId="395981714">
    <w:abstractNumId w:val="12"/>
  </w:num>
  <w:num w:numId="13" w16cid:durableId="1710716403">
    <w:abstractNumId w:val="12"/>
  </w:num>
  <w:num w:numId="14" w16cid:durableId="320234202">
    <w:abstractNumId w:val="12"/>
  </w:num>
  <w:num w:numId="15" w16cid:durableId="1771927654">
    <w:abstractNumId w:val="12"/>
  </w:num>
  <w:num w:numId="16" w16cid:durableId="683558703">
    <w:abstractNumId w:val="12"/>
  </w:num>
  <w:num w:numId="17" w16cid:durableId="1917785924">
    <w:abstractNumId w:val="12"/>
  </w:num>
  <w:num w:numId="18" w16cid:durableId="1252818870">
    <w:abstractNumId w:val="12"/>
  </w:num>
  <w:num w:numId="19" w16cid:durableId="915434593">
    <w:abstractNumId w:val="12"/>
  </w:num>
  <w:num w:numId="20" w16cid:durableId="278269905">
    <w:abstractNumId w:val="12"/>
  </w:num>
  <w:num w:numId="21" w16cid:durableId="1993874612">
    <w:abstractNumId w:val="12"/>
  </w:num>
  <w:num w:numId="22" w16cid:durableId="585723067">
    <w:abstractNumId w:val="12"/>
  </w:num>
  <w:num w:numId="23" w16cid:durableId="1043288693">
    <w:abstractNumId w:val="12"/>
  </w:num>
  <w:num w:numId="24" w16cid:durableId="117795867">
    <w:abstractNumId w:val="3"/>
  </w:num>
  <w:num w:numId="25" w16cid:durableId="1040278697">
    <w:abstractNumId w:val="3"/>
  </w:num>
  <w:num w:numId="26" w16cid:durableId="64764499">
    <w:abstractNumId w:val="3"/>
  </w:num>
  <w:num w:numId="27" w16cid:durableId="526607166">
    <w:abstractNumId w:val="3"/>
  </w:num>
  <w:num w:numId="28" w16cid:durableId="1916892923">
    <w:abstractNumId w:val="10"/>
  </w:num>
  <w:num w:numId="29" w16cid:durableId="1295523944">
    <w:abstractNumId w:val="9"/>
  </w:num>
  <w:num w:numId="30" w16cid:durableId="2131901317">
    <w:abstractNumId w:val="24"/>
  </w:num>
  <w:num w:numId="31" w16cid:durableId="686102589">
    <w:abstractNumId w:val="22"/>
  </w:num>
  <w:num w:numId="32" w16cid:durableId="869609062">
    <w:abstractNumId w:val="16"/>
  </w:num>
  <w:num w:numId="33" w16cid:durableId="663706112">
    <w:abstractNumId w:val="29"/>
  </w:num>
  <w:num w:numId="34" w16cid:durableId="1025399506">
    <w:abstractNumId w:val="23"/>
  </w:num>
  <w:num w:numId="35" w16cid:durableId="646518286">
    <w:abstractNumId w:val="17"/>
  </w:num>
  <w:num w:numId="36" w16cid:durableId="319577889">
    <w:abstractNumId w:val="4"/>
  </w:num>
  <w:num w:numId="37" w16cid:durableId="214856523">
    <w:abstractNumId w:val="28"/>
  </w:num>
  <w:num w:numId="38" w16cid:durableId="1953393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1552923">
    <w:abstractNumId w:val="20"/>
  </w:num>
  <w:num w:numId="40" w16cid:durableId="259412027">
    <w:abstractNumId w:val="32"/>
  </w:num>
  <w:num w:numId="41" w16cid:durableId="1662611241">
    <w:abstractNumId w:val="13"/>
  </w:num>
  <w:num w:numId="42" w16cid:durableId="832985191">
    <w:abstractNumId w:val="11"/>
  </w:num>
  <w:num w:numId="43" w16cid:durableId="237907796">
    <w:abstractNumId w:val="2"/>
  </w:num>
  <w:num w:numId="44" w16cid:durableId="1422802276">
    <w:abstractNumId w:val="30"/>
  </w:num>
  <w:num w:numId="45" w16cid:durableId="1201015874">
    <w:abstractNumId w:val="21"/>
  </w:num>
  <w:num w:numId="46" w16cid:durableId="877090334">
    <w:abstractNumId w:val="19"/>
  </w:num>
  <w:num w:numId="47" w16cid:durableId="1003045112">
    <w:abstractNumId w:val="15"/>
  </w:num>
  <w:num w:numId="48" w16cid:durableId="1663386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4D"/>
    <w:rsid w:val="000071C1"/>
    <w:rsid w:val="0000750E"/>
    <w:rsid w:val="00012983"/>
    <w:rsid w:val="00026C94"/>
    <w:rsid w:val="00032C2C"/>
    <w:rsid w:val="000333EB"/>
    <w:rsid w:val="00036534"/>
    <w:rsid w:val="00037B59"/>
    <w:rsid w:val="00040BB5"/>
    <w:rsid w:val="000419CD"/>
    <w:rsid w:val="00046717"/>
    <w:rsid w:val="0004719C"/>
    <w:rsid w:val="00047756"/>
    <w:rsid w:val="00054063"/>
    <w:rsid w:val="000559BC"/>
    <w:rsid w:val="00056A5D"/>
    <w:rsid w:val="0005745B"/>
    <w:rsid w:val="000625E3"/>
    <w:rsid w:val="00071163"/>
    <w:rsid w:val="00091929"/>
    <w:rsid w:val="00092A16"/>
    <w:rsid w:val="00094B1A"/>
    <w:rsid w:val="00097666"/>
    <w:rsid w:val="000C0180"/>
    <w:rsid w:val="000C2B9D"/>
    <w:rsid w:val="000C5854"/>
    <w:rsid w:val="000C5F22"/>
    <w:rsid w:val="000E373E"/>
    <w:rsid w:val="000E46EC"/>
    <w:rsid w:val="000F2432"/>
    <w:rsid w:val="000F5DBF"/>
    <w:rsid w:val="00105B17"/>
    <w:rsid w:val="001112F3"/>
    <w:rsid w:val="00111F84"/>
    <w:rsid w:val="00120BD0"/>
    <w:rsid w:val="00125948"/>
    <w:rsid w:val="0012797E"/>
    <w:rsid w:val="001314E5"/>
    <w:rsid w:val="00135859"/>
    <w:rsid w:val="00142B1B"/>
    <w:rsid w:val="00143396"/>
    <w:rsid w:val="00145BFB"/>
    <w:rsid w:val="00161EEF"/>
    <w:rsid w:val="00162476"/>
    <w:rsid w:val="0016252B"/>
    <w:rsid w:val="00163033"/>
    <w:rsid w:val="00177A1D"/>
    <w:rsid w:val="001826B2"/>
    <w:rsid w:val="001850B1"/>
    <w:rsid w:val="0018615A"/>
    <w:rsid w:val="001902F8"/>
    <w:rsid w:val="00192AF8"/>
    <w:rsid w:val="001A5685"/>
    <w:rsid w:val="001B0446"/>
    <w:rsid w:val="001C44A2"/>
    <w:rsid w:val="001C53FE"/>
    <w:rsid w:val="001C6E7D"/>
    <w:rsid w:val="001D1F90"/>
    <w:rsid w:val="001D5941"/>
    <w:rsid w:val="001D68C1"/>
    <w:rsid w:val="001E4F0C"/>
    <w:rsid w:val="001F0408"/>
    <w:rsid w:val="001F0EB3"/>
    <w:rsid w:val="001F2F80"/>
    <w:rsid w:val="001F7C33"/>
    <w:rsid w:val="00201D80"/>
    <w:rsid w:val="00205B2A"/>
    <w:rsid w:val="00210CBC"/>
    <w:rsid w:val="00215F84"/>
    <w:rsid w:val="00221AAB"/>
    <w:rsid w:val="00224D2E"/>
    <w:rsid w:val="002401B1"/>
    <w:rsid w:val="0024171F"/>
    <w:rsid w:val="00242F52"/>
    <w:rsid w:val="0026075E"/>
    <w:rsid w:val="0026496E"/>
    <w:rsid w:val="002700D7"/>
    <w:rsid w:val="00277985"/>
    <w:rsid w:val="00286E59"/>
    <w:rsid w:val="002901E2"/>
    <w:rsid w:val="00290BBE"/>
    <w:rsid w:val="00297986"/>
    <w:rsid w:val="002A4FEA"/>
    <w:rsid w:val="002B14AA"/>
    <w:rsid w:val="002B1797"/>
    <w:rsid w:val="002B2027"/>
    <w:rsid w:val="002B3D5F"/>
    <w:rsid w:val="002B4394"/>
    <w:rsid w:val="002D175D"/>
    <w:rsid w:val="002D347A"/>
    <w:rsid w:val="002D3CE5"/>
    <w:rsid w:val="002D625A"/>
    <w:rsid w:val="002D79E0"/>
    <w:rsid w:val="002F3E7B"/>
    <w:rsid w:val="002F7457"/>
    <w:rsid w:val="002F7B86"/>
    <w:rsid w:val="00300B0A"/>
    <w:rsid w:val="0030187C"/>
    <w:rsid w:val="00303DA7"/>
    <w:rsid w:val="0030583C"/>
    <w:rsid w:val="003102FC"/>
    <w:rsid w:val="003122A0"/>
    <w:rsid w:val="00316E6B"/>
    <w:rsid w:val="0032245B"/>
    <w:rsid w:val="00323006"/>
    <w:rsid w:val="00323371"/>
    <w:rsid w:val="00323ACA"/>
    <w:rsid w:val="0032501C"/>
    <w:rsid w:val="00325977"/>
    <w:rsid w:val="00332E58"/>
    <w:rsid w:val="00333F70"/>
    <w:rsid w:val="003356CE"/>
    <w:rsid w:val="003460CB"/>
    <w:rsid w:val="00350F6B"/>
    <w:rsid w:val="00352CF5"/>
    <w:rsid w:val="003568C0"/>
    <w:rsid w:val="00360A7F"/>
    <w:rsid w:val="00364867"/>
    <w:rsid w:val="003748AF"/>
    <w:rsid w:val="00375E69"/>
    <w:rsid w:val="00376EF3"/>
    <w:rsid w:val="0038390C"/>
    <w:rsid w:val="003841B3"/>
    <w:rsid w:val="00386623"/>
    <w:rsid w:val="00387C23"/>
    <w:rsid w:val="003940B5"/>
    <w:rsid w:val="00397053"/>
    <w:rsid w:val="003A0396"/>
    <w:rsid w:val="003A0765"/>
    <w:rsid w:val="003A095B"/>
    <w:rsid w:val="003A2087"/>
    <w:rsid w:val="003A2AAD"/>
    <w:rsid w:val="003B09F2"/>
    <w:rsid w:val="003B346C"/>
    <w:rsid w:val="003B589B"/>
    <w:rsid w:val="003D287E"/>
    <w:rsid w:val="003D2E51"/>
    <w:rsid w:val="003D3AAA"/>
    <w:rsid w:val="003E154D"/>
    <w:rsid w:val="003E3C9D"/>
    <w:rsid w:val="003F7467"/>
    <w:rsid w:val="0040042C"/>
    <w:rsid w:val="00400BF3"/>
    <w:rsid w:val="0040667C"/>
    <w:rsid w:val="00414E7E"/>
    <w:rsid w:val="0042575B"/>
    <w:rsid w:val="004326F6"/>
    <w:rsid w:val="004357C5"/>
    <w:rsid w:val="00437799"/>
    <w:rsid w:val="00446057"/>
    <w:rsid w:val="004510DE"/>
    <w:rsid w:val="004520D6"/>
    <w:rsid w:val="004635BE"/>
    <w:rsid w:val="0046680F"/>
    <w:rsid w:val="00471D00"/>
    <w:rsid w:val="0047525E"/>
    <w:rsid w:val="00486189"/>
    <w:rsid w:val="00497E6E"/>
    <w:rsid w:val="004A075A"/>
    <w:rsid w:val="004A774C"/>
    <w:rsid w:val="004B62D2"/>
    <w:rsid w:val="004C0DAF"/>
    <w:rsid w:val="004C3BFE"/>
    <w:rsid w:val="004C5AE8"/>
    <w:rsid w:val="004D0B82"/>
    <w:rsid w:val="004F08F5"/>
    <w:rsid w:val="004F6694"/>
    <w:rsid w:val="004F796B"/>
    <w:rsid w:val="005139B6"/>
    <w:rsid w:val="005140FB"/>
    <w:rsid w:val="00515564"/>
    <w:rsid w:val="00515E3B"/>
    <w:rsid w:val="00517F26"/>
    <w:rsid w:val="0052439F"/>
    <w:rsid w:val="00553980"/>
    <w:rsid w:val="00567DE0"/>
    <w:rsid w:val="00567F87"/>
    <w:rsid w:val="0057552C"/>
    <w:rsid w:val="00577487"/>
    <w:rsid w:val="005821C6"/>
    <w:rsid w:val="0058221E"/>
    <w:rsid w:val="005833BA"/>
    <w:rsid w:val="005905D9"/>
    <w:rsid w:val="00590F73"/>
    <w:rsid w:val="00592FAE"/>
    <w:rsid w:val="005934A4"/>
    <w:rsid w:val="0059694C"/>
    <w:rsid w:val="005A7077"/>
    <w:rsid w:val="005B00D0"/>
    <w:rsid w:val="005B7886"/>
    <w:rsid w:val="005C4A8F"/>
    <w:rsid w:val="005C75C3"/>
    <w:rsid w:val="005D0D2E"/>
    <w:rsid w:val="005D38FA"/>
    <w:rsid w:val="005D3C8F"/>
    <w:rsid w:val="005D437C"/>
    <w:rsid w:val="005D52FF"/>
    <w:rsid w:val="005D5F6C"/>
    <w:rsid w:val="005F1BC1"/>
    <w:rsid w:val="005F2D5F"/>
    <w:rsid w:val="005F7825"/>
    <w:rsid w:val="006002FD"/>
    <w:rsid w:val="00606DC6"/>
    <w:rsid w:val="006170CA"/>
    <w:rsid w:val="00624640"/>
    <w:rsid w:val="0062521E"/>
    <w:rsid w:val="006268D1"/>
    <w:rsid w:val="00633D6C"/>
    <w:rsid w:val="00635CB4"/>
    <w:rsid w:val="006423E1"/>
    <w:rsid w:val="00646096"/>
    <w:rsid w:val="006562DB"/>
    <w:rsid w:val="006562E6"/>
    <w:rsid w:val="00686A77"/>
    <w:rsid w:val="006A2994"/>
    <w:rsid w:val="006B3A0B"/>
    <w:rsid w:val="006B5526"/>
    <w:rsid w:val="006C2B0F"/>
    <w:rsid w:val="006C3751"/>
    <w:rsid w:val="006C3E02"/>
    <w:rsid w:val="006C54B3"/>
    <w:rsid w:val="006D0DC7"/>
    <w:rsid w:val="006D1608"/>
    <w:rsid w:val="006D4036"/>
    <w:rsid w:val="006D40EF"/>
    <w:rsid w:val="006D75AF"/>
    <w:rsid w:val="006F121C"/>
    <w:rsid w:val="006F7C98"/>
    <w:rsid w:val="007005F9"/>
    <w:rsid w:val="00705FA0"/>
    <w:rsid w:val="007066E5"/>
    <w:rsid w:val="00707E4A"/>
    <w:rsid w:val="00713D86"/>
    <w:rsid w:val="00716A2A"/>
    <w:rsid w:val="00716BCA"/>
    <w:rsid w:val="00720FC8"/>
    <w:rsid w:val="007212A1"/>
    <w:rsid w:val="007258F3"/>
    <w:rsid w:val="00726AB5"/>
    <w:rsid w:val="00732504"/>
    <w:rsid w:val="00732E6E"/>
    <w:rsid w:val="00733B99"/>
    <w:rsid w:val="0075244B"/>
    <w:rsid w:val="0076449B"/>
    <w:rsid w:val="00765A92"/>
    <w:rsid w:val="0078474D"/>
    <w:rsid w:val="00784EBB"/>
    <w:rsid w:val="0078764D"/>
    <w:rsid w:val="00794DD6"/>
    <w:rsid w:val="007969D8"/>
    <w:rsid w:val="00796B6B"/>
    <w:rsid w:val="007A363E"/>
    <w:rsid w:val="007B1286"/>
    <w:rsid w:val="007B247D"/>
    <w:rsid w:val="007B3279"/>
    <w:rsid w:val="007C3915"/>
    <w:rsid w:val="007C4FF3"/>
    <w:rsid w:val="007D1630"/>
    <w:rsid w:val="007D2377"/>
    <w:rsid w:val="007D7745"/>
    <w:rsid w:val="007E3A9D"/>
    <w:rsid w:val="007F547F"/>
    <w:rsid w:val="007F7A0F"/>
    <w:rsid w:val="008020FC"/>
    <w:rsid w:val="00804AA2"/>
    <w:rsid w:val="0080650E"/>
    <w:rsid w:val="00812554"/>
    <w:rsid w:val="008142D8"/>
    <w:rsid w:val="008148C8"/>
    <w:rsid w:val="0081579B"/>
    <w:rsid w:val="00816090"/>
    <w:rsid w:val="0081663E"/>
    <w:rsid w:val="00820967"/>
    <w:rsid w:val="00830DF8"/>
    <w:rsid w:val="0083303D"/>
    <w:rsid w:val="00835520"/>
    <w:rsid w:val="0084399F"/>
    <w:rsid w:val="008465EA"/>
    <w:rsid w:val="00847032"/>
    <w:rsid w:val="00853CBD"/>
    <w:rsid w:val="00854D95"/>
    <w:rsid w:val="00854F23"/>
    <w:rsid w:val="008647A1"/>
    <w:rsid w:val="00867203"/>
    <w:rsid w:val="008736F4"/>
    <w:rsid w:val="00886699"/>
    <w:rsid w:val="00886D9D"/>
    <w:rsid w:val="008903DF"/>
    <w:rsid w:val="00890851"/>
    <w:rsid w:val="00892504"/>
    <w:rsid w:val="008A29A8"/>
    <w:rsid w:val="008A3BF9"/>
    <w:rsid w:val="008A4496"/>
    <w:rsid w:val="008A460D"/>
    <w:rsid w:val="008A5DC3"/>
    <w:rsid w:val="008A7288"/>
    <w:rsid w:val="008C3BFD"/>
    <w:rsid w:val="008C70A8"/>
    <w:rsid w:val="008D57DE"/>
    <w:rsid w:val="008D652A"/>
    <w:rsid w:val="008D7238"/>
    <w:rsid w:val="008E3CAD"/>
    <w:rsid w:val="008E7284"/>
    <w:rsid w:val="008F1837"/>
    <w:rsid w:val="008F2F53"/>
    <w:rsid w:val="009050E9"/>
    <w:rsid w:val="009117F4"/>
    <w:rsid w:val="009140E9"/>
    <w:rsid w:val="0091461E"/>
    <w:rsid w:val="009156F3"/>
    <w:rsid w:val="0091682B"/>
    <w:rsid w:val="00916CB9"/>
    <w:rsid w:val="009177FE"/>
    <w:rsid w:val="009270D9"/>
    <w:rsid w:val="00927D23"/>
    <w:rsid w:val="00933619"/>
    <w:rsid w:val="00933CFC"/>
    <w:rsid w:val="009363E1"/>
    <w:rsid w:val="0093757B"/>
    <w:rsid w:val="009375F6"/>
    <w:rsid w:val="00944291"/>
    <w:rsid w:val="0096360A"/>
    <w:rsid w:val="00965ECE"/>
    <w:rsid w:val="009724A5"/>
    <w:rsid w:val="00973D62"/>
    <w:rsid w:val="00981073"/>
    <w:rsid w:val="00985CCF"/>
    <w:rsid w:val="009873C1"/>
    <w:rsid w:val="009B02E1"/>
    <w:rsid w:val="009B3D92"/>
    <w:rsid w:val="009C0C23"/>
    <w:rsid w:val="009C6D93"/>
    <w:rsid w:val="009D192C"/>
    <w:rsid w:val="009D312B"/>
    <w:rsid w:val="009D69A4"/>
    <w:rsid w:val="009E4DD1"/>
    <w:rsid w:val="009E5CDA"/>
    <w:rsid w:val="009E7D54"/>
    <w:rsid w:val="009F613B"/>
    <w:rsid w:val="00A01CAB"/>
    <w:rsid w:val="00A11F8D"/>
    <w:rsid w:val="00A1787D"/>
    <w:rsid w:val="00A22349"/>
    <w:rsid w:val="00A24814"/>
    <w:rsid w:val="00A3176D"/>
    <w:rsid w:val="00A32951"/>
    <w:rsid w:val="00A33B64"/>
    <w:rsid w:val="00A3554E"/>
    <w:rsid w:val="00A40372"/>
    <w:rsid w:val="00A41212"/>
    <w:rsid w:val="00A459C9"/>
    <w:rsid w:val="00A5570F"/>
    <w:rsid w:val="00A65B60"/>
    <w:rsid w:val="00A754D9"/>
    <w:rsid w:val="00A8357D"/>
    <w:rsid w:val="00A85D6C"/>
    <w:rsid w:val="00A919B7"/>
    <w:rsid w:val="00A91B93"/>
    <w:rsid w:val="00A962EA"/>
    <w:rsid w:val="00A97B0B"/>
    <w:rsid w:val="00AA2511"/>
    <w:rsid w:val="00AA4BAD"/>
    <w:rsid w:val="00AA5CC5"/>
    <w:rsid w:val="00AB76FE"/>
    <w:rsid w:val="00AC19F9"/>
    <w:rsid w:val="00AC5D45"/>
    <w:rsid w:val="00AC7255"/>
    <w:rsid w:val="00AD5BB5"/>
    <w:rsid w:val="00AE1375"/>
    <w:rsid w:val="00AE263C"/>
    <w:rsid w:val="00AE4483"/>
    <w:rsid w:val="00AE6F08"/>
    <w:rsid w:val="00AF277E"/>
    <w:rsid w:val="00AF4F82"/>
    <w:rsid w:val="00B022A5"/>
    <w:rsid w:val="00B04987"/>
    <w:rsid w:val="00B04A4F"/>
    <w:rsid w:val="00B15840"/>
    <w:rsid w:val="00B20B3C"/>
    <w:rsid w:val="00B247AD"/>
    <w:rsid w:val="00B30012"/>
    <w:rsid w:val="00B50C0F"/>
    <w:rsid w:val="00B5669E"/>
    <w:rsid w:val="00B63141"/>
    <w:rsid w:val="00B65399"/>
    <w:rsid w:val="00B671D7"/>
    <w:rsid w:val="00B774A2"/>
    <w:rsid w:val="00B8118D"/>
    <w:rsid w:val="00B82915"/>
    <w:rsid w:val="00B83A40"/>
    <w:rsid w:val="00B87200"/>
    <w:rsid w:val="00B91596"/>
    <w:rsid w:val="00B9341B"/>
    <w:rsid w:val="00BB1CA3"/>
    <w:rsid w:val="00BB2D48"/>
    <w:rsid w:val="00BB536F"/>
    <w:rsid w:val="00BB69F5"/>
    <w:rsid w:val="00BB6D57"/>
    <w:rsid w:val="00BC62C1"/>
    <w:rsid w:val="00BC7E35"/>
    <w:rsid w:val="00BD3416"/>
    <w:rsid w:val="00BD7BCA"/>
    <w:rsid w:val="00BE49F3"/>
    <w:rsid w:val="00BE6CD4"/>
    <w:rsid w:val="00BF6A14"/>
    <w:rsid w:val="00C00B81"/>
    <w:rsid w:val="00C01DE3"/>
    <w:rsid w:val="00C05D18"/>
    <w:rsid w:val="00C157BD"/>
    <w:rsid w:val="00C208AB"/>
    <w:rsid w:val="00C25709"/>
    <w:rsid w:val="00C30199"/>
    <w:rsid w:val="00C430D1"/>
    <w:rsid w:val="00C54E64"/>
    <w:rsid w:val="00C607DC"/>
    <w:rsid w:val="00C61020"/>
    <w:rsid w:val="00C62698"/>
    <w:rsid w:val="00C6481D"/>
    <w:rsid w:val="00C66445"/>
    <w:rsid w:val="00C673FD"/>
    <w:rsid w:val="00C71BC8"/>
    <w:rsid w:val="00C72E52"/>
    <w:rsid w:val="00C81E03"/>
    <w:rsid w:val="00C868B1"/>
    <w:rsid w:val="00C91993"/>
    <w:rsid w:val="00CA0369"/>
    <w:rsid w:val="00CA5CC6"/>
    <w:rsid w:val="00CA6C36"/>
    <w:rsid w:val="00CB1CAB"/>
    <w:rsid w:val="00CB6B5C"/>
    <w:rsid w:val="00CC1360"/>
    <w:rsid w:val="00CC50DF"/>
    <w:rsid w:val="00CC5481"/>
    <w:rsid w:val="00CC685E"/>
    <w:rsid w:val="00CD0070"/>
    <w:rsid w:val="00CD4766"/>
    <w:rsid w:val="00CD5539"/>
    <w:rsid w:val="00CD7335"/>
    <w:rsid w:val="00CE124E"/>
    <w:rsid w:val="00CE2DA5"/>
    <w:rsid w:val="00CF184D"/>
    <w:rsid w:val="00CF5F21"/>
    <w:rsid w:val="00CF7A32"/>
    <w:rsid w:val="00D018EF"/>
    <w:rsid w:val="00D0433E"/>
    <w:rsid w:val="00D07887"/>
    <w:rsid w:val="00D15CF5"/>
    <w:rsid w:val="00D23564"/>
    <w:rsid w:val="00D242DF"/>
    <w:rsid w:val="00D2599F"/>
    <w:rsid w:val="00D30D8C"/>
    <w:rsid w:val="00D3764B"/>
    <w:rsid w:val="00D42623"/>
    <w:rsid w:val="00D45216"/>
    <w:rsid w:val="00D45370"/>
    <w:rsid w:val="00D51820"/>
    <w:rsid w:val="00D54D5D"/>
    <w:rsid w:val="00D55360"/>
    <w:rsid w:val="00D555B1"/>
    <w:rsid w:val="00D630EE"/>
    <w:rsid w:val="00D6421E"/>
    <w:rsid w:val="00D64870"/>
    <w:rsid w:val="00D65ED3"/>
    <w:rsid w:val="00D70850"/>
    <w:rsid w:val="00D73446"/>
    <w:rsid w:val="00D7493F"/>
    <w:rsid w:val="00D77214"/>
    <w:rsid w:val="00D8445B"/>
    <w:rsid w:val="00D91041"/>
    <w:rsid w:val="00D9356D"/>
    <w:rsid w:val="00D93BB5"/>
    <w:rsid w:val="00DA7AD1"/>
    <w:rsid w:val="00DB5556"/>
    <w:rsid w:val="00DC6278"/>
    <w:rsid w:val="00DE12BA"/>
    <w:rsid w:val="00DE48E3"/>
    <w:rsid w:val="00DE5D93"/>
    <w:rsid w:val="00DF6471"/>
    <w:rsid w:val="00E0012C"/>
    <w:rsid w:val="00E013DC"/>
    <w:rsid w:val="00E10869"/>
    <w:rsid w:val="00E1216C"/>
    <w:rsid w:val="00E134F0"/>
    <w:rsid w:val="00E158A4"/>
    <w:rsid w:val="00E15B3C"/>
    <w:rsid w:val="00E23785"/>
    <w:rsid w:val="00E24169"/>
    <w:rsid w:val="00E259C6"/>
    <w:rsid w:val="00E36BF1"/>
    <w:rsid w:val="00E4232D"/>
    <w:rsid w:val="00E479A4"/>
    <w:rsid w:val="00E603DC"/>
    <w:rsid w:val="00E62CD4"/>
    <w:rsid w:val="00E6444E"/>
    <w:rsid w:val="00E67BD1"/>
    <w:rsid w:val="00E70ECB"/>
    <w:rsid w:val="00E74171"/>
    <w:rsid w:val="00E74BA5"/>
    <w:rsid w:val="00E7741A"/>
    <w:rsid w:val="00E810A4"/>
    <w:rsid w:val="00E816C4"/>
    <w:rsid w:val="00E81B55"/>
    <w:rsid w:val="00E844B8"/>
    <w:rsid w:val="00E86FC2"/>
    <w:rsid w:val="00E876D9"/>
    <w:rsid w:val="00E87D71"/>
    <w:rsid w:val="00E92CC1"/>
    <w:rsid w:val="00E9732F"/>
    <w:rsid w:val="00E97D89"/>
    <w:rsid w:val="00EA0D7A"/>
    <w:rsid w:val="00EA2C92"/>
    <w:rsid w:val="00EB00EE"/>
    <w:rsid w:val="00EB3566"/>
    <w:rsid w:val="00EB502B"/>
    <w:rsid w:val="00EB548A"/>
    <w:rsid w:val="00EC00A2"/>
    <w:rsid w:val="00EC1377"/>
    <w:rsid w:val="00EC5356"/>
    <w:rsid w:val="00ED262C"/>
    <w:rsid w:val="00ED377B"/>
    <w:rsid w:val="00EE0416"/>
    <w:rsid w:val="00EE0CA7"/>
    <w:rsid w:val="00EE5024"/>
    <w:rsid w:val="00EE5786"/>
    <w:rsid w:val="00EE6108"/>
    <w:rsid w:val="00EE626B"/>
    <w:rsid w:val="00EF791C"/>
    <w:rsid w:val="00F00CD9"/>
    <w:rsid w:val="00F0187C"/>
    <w:rsid w:val="00F0331C"/>
    <w:rsid w:val="00F11E31"/>
    <w:rsid w:val="00F1399A"/>
    <w:rsid w:val="00F14489"/>
    <w:rsid w:val="00F16998"/>
    <w:rsid w:val="00F17C46"/>
    <w:rsid w:val="00F221B4"/>
    <w:rsid w:val="00F31CF9"/>
    <w:rsid w:val="00F47164"/>
    <w:rsid w:val="00F50EDE"/>
    <w:rsid w:val="00F53D04"/>
    <w:rsid w:val="00F542B2"/>
    <w:rsid w:val="00F54E0E"/>
    <w:rsid w:val="00F6363F"/>
    <w:rsid w:val="00F677C6"/>
    <w:rsid w:val="00F756AD"/>
    <w:rsid w:val="00F7574C"/>
    <w:rsid w:val="00F75828"/>
    <w:rsid w:val="00F805AA"/>
    <w:rsid w:val="00F829BD"/>
    <w:rsid w:val="00F860C2"/>
    <w:rsid w:val="00F91F94"/>
    <w:rsid w:val="00F94AE0"/>
    <w:rsid w:val="00F95A47"/>
    <w:rsid w:val="00F966F6"/>
    <w:rsid w:val="00FA67F5"/>
    <w:rsid w:val="00FB0800"/>
    <w:rsid w:val="00FB4A49"/>
    <w:rsid w:val="00FB7878"/>
    <w:rsid w:val="00FC0328"/>
    <w:rsid w:val="00FC1B6C"/>
    <w:rsid w:val="00FC2308"/>
    <w:rsid w:val="00FC626A"/>
    <w:rsid w:val="00FD269D"/>
    <w:rsid w:val="00FD2FF8"/>
    <w:rsid w:val="00FD72E9"/>
    <w:rsid w:val="3EE3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E5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TRC Body Text"/>
    <w:qFormat/>
    <w:rsid w:val="00A32951"/>
    <w:pPr>
      <w:spacing w:after="240"/>
    </w:pPr>
    <w:rPr>
      <w:sz w:val="24"/>
    </w:rPr>
  </w:style>
  <w:style w:type="paragraph" w:styleId="Heading1">
    <w:name w:val="heading 1"/>
    <w:aliases w:val="ITRC Section title"/>
    <w:next w:val="Normal"/>
    <w:link w:val="Heading1Char"/>
    <w:qFormat/>
    <w:rsid w:val="00205B2A"/>
    <w:pPr>
      <w:keepNext/>
      <w:numPr>
        <w:numId w:val="30"/>
      </w:numPr>
      <w:tabs>
        <w:tab w:val="left" w:pos="547"/>
      </w:tabs>
      <w:spacing w:before="480" w:after="240"/>
      <w:outlineLvl w:val="0"/>
    </w:pPr>
    <w:rPr>
      <w:rFonts w:ascii="Times New Roman Bold" w:hAnsi="Times New Roman Bold"/>
      <w:b/>
      <w:caps/>
      <w:sz w:val="24"/>
      <w:szCs w:val="24"/>
    </w:rPr>
  </w:style>
  <w:style w:type="paragraph" w:styleId="Heading2">
    <w:name w:val="heading 2"/>
    <w:aliases w:val="ITRC 1st Level Subsection"/>
    <w:next w:val="Normal"/>
    <w:link w:val="Heading2Char"/>
    <w:qFormat/>
    <w:rsid w:val="0030187C"/>
    <w:pPr>
      <w:keepNext/>
      <w:numPr>
        <w:ilvl w:val="1"/>
        <w:numId w:val="30"/>
      </w:numPr>
      <w:tabs>
        <w:tab w:val="left" w:pos="540"/>
      </w:tabs>
      <w:spacing w:before="240" w:after="240"/>
      <w:outlineLvl w:val="1"/>
    </w:pPr>
    <w:rPr>
      <w:b/>
      <w:sz w:val="24"/>
    </w:rPr>
  </w:style>
  <w:style w:type="paragraph" w:styleId="Heading3">
    <w:name w:val="heading 3"/>
    <w:aliases w:val="ITRC 2nd Level Subsection"/>
    <w:basedOn w:val="Normal"/>
    <w:next w:val="Normal"/>
    <w:link w:val="Heading3Char"/>
    <w:qFormat/>
    <w:rsid w:val="006423E1"/>
    <w:pPr>
      <w:keepNext/>
      <w:numPr>
        <w:ilvl w:val="2"/>
        <w:numId w:val="30"/>
      </w:numPr>
      <w:tabs>
        <w:tab w:val="left" w:pos="720"/>
      </w:tabs>
      <w:spacing w:before="240"/>
      <w:outlineLvl w:val="2"/>
    </w:pPr>
    <w:rPr>
      <w:szCs w:val="24"/>
    </w:rPr>
  </w:style>
  <w:style w:type="paragraph" w:styleId="Heading4">
    <w:name w:val="heading 4"/>
    <w:aliases w:val="ITRC 3rd level subsection"/>
    <w:basedOn w:val="Normal"/>
    <w:next w:val="Normal"/>
    <w:link w:val="Heading4Char"/>
    <w:qFormat/>
    <w:rsid w:val="0030187C"/>
    <w:pPr>
      <w:keepNext/>
      <w:numPr>
        <w:ilvl w:val="3"/>
        <w:numId w:val="30"/>
      </w:numPr>
      <w:tabs>
        <w:tab w:val="left" w:pos="907"/>
      </w:tabs>
      <w:spacing w:before="240"/>
      <w:outlineLvl w:val="3"/>
    </w:pPr>
    <w:rPr>
      <w:bCs/>
      <w:i/>
      <w:szCs w:val="28"/>
    </w:rPr>
  </w:style>
  <w:style w:type="paragraph" w:styleId="Heading5">
    <w:name w:val="heading 5"/>
    <w:basedOn w:val="Normal"/>
    <w:next w:val="Normal"/>
    <w:link w:val="Heading5Char"/>
    <w:semiHidden/>
    <w:unhideWhenUsed/>
    <w:qFormat/>
    <w:rsid w:val="006423E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423E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23E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23E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423E1"/>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RCTitlepagetext">
    <w:name w:val="ITRC Title page text"/>
    <w:basedOn w:val="Normal"/>
    <w:rsid w:val="00E4232D"/>
    <w:pPr>
      <w:jc w:val="center"/>
    </w:pPr>
    <w:rPr>
      <w:b/>
    </w:rPr>
  </w:style>
  <w:style w:type="paragraph" w:styleId="TOC1">
    <w:name w:val="toc 1"/>
    <w:basedOn w:val="Heading1"/>
    <w:next w:val="Heading1"/>
    <w:uiPriority w:val="39"/>
    <w:rsid w:val="00FB4A49"/>
    <w:pPr>
      <w:keepNext w:val="0"/>
      <w:numPr>
        <w:numId w:val="0"/>
      </w:numPr>
      <w:tabs>
        <w:tab w:val="clear" w:pos="547"/>
        <w:tab w:val="left" w:pos="360"/>
        <w:tab w:val="right" w:leader="dot" w:pos="9350"/>
      </w:tabs>
      <w:spacing w:before="120" w:after="120"/>
    </w:pPr>
    <w:rPr>
      <w:b w:val="0"/>
      <w:noProof/>
    </w:rPr>
  </w:style>
  <w:style w:type="paragraph" w:styleId="TOC2">
    <w:name w:val="toc 2"/>
    <w:basedOn w:val="Heading2"/>
    <w:next w:val="Normal"/>
    <w:autoRedefine/>
    <w:uiPriority w:val="39"/>
    <w:rsid w:val="00A8357D"/>
    <w:pPr>
      <w:keepNext w:val="0"/>
      <w:numPr>
        <w:ilvl w:val="0"/>
        <w:numId w:val="0"/>
      </w:numPr>
      <w:tabs>
        <w:tab w:val="clear" w:pos="540"/>
        <w:tab w:val="left" w:pos="900"/>
        <w:tab w:val="right" w:leader="dot" w:pos="9350"/>
      </w:tabs>
      <w:spacing w:before="0" w:after="0"/>
      <w:ind w:left="360" w:right="540"/>
    </w:pPr>
    <w:rPr>
      <w:b w:val="0"/>
      <w:noProof/>
    </w:rPr>
  </w:style>
  <w:style w:type="character" w:styleId="PageNumber">
    <w:name w:val="page number"/>
    <w:aliases w:val="ITRC Page number"/>
    <w:rsid w:val="00037B59"/>
    <w:rPr>
      <w:rFonts w:ascii="Times New Roman" w:hAnsi="Times New Roman"/>
      <w:sz w:val="20"/>
    </w:rPr>
  </w:style>
  <w:style w:type="character" w:styleId="FollowedHyperlink">
    <w:name w:val="FollowedHyperlink"/>
    <w:aliases w:val="ITRC active hyperlink"/>
    <w:basedOn w:val="DefaultParagraphFont"/>
    <w:rsid w:val="00F16998"/>
    <w:rPr>
      <w:color w:val="auto"/>
      <w:u w:val="single"/>
    </w:rPr>
  </w:style>
  <w:style w:type="paragraph" w:customStyle="1" w:styleId="ITRCTitlepagedate">
    <w:name w:val="ITRC Title page date"/>
    <w:basedOn w:val="Normal"/>
    <w:rsid w:val="00E4232D"/>
    <w:pPr>
      <w:jc w:val="center"/>
    </w:pPr>
    <w:rPr>
      <w:b/>
      <w:sz w:val="28"/>
    </w:rPr>
  </w:style>
  <w:style w:type="paragraph" w:customStyle="1" w:styleId="ITRCReferenceCited">
    <w:name w:val="ITRC Reference Cited"/>
    <w:next w:val="Normal"/>
    <w:rsid w:val="00CF7A32"/>
    <w:pPr>
      <w:autoSpaceDE w:val="0"/>
      <w:autoSpaceDN w:val="0"/>
      <w:adjustRightInd w:val="0"/>
      <w:ind w:left="360" w:hanging="360"/>
      <w:jc w:val="both"/>
    </w:pPr>
    <w:rPr>
      <w:sz w:val="24"/>
      <w:szCs w:val="24"/>
    </w:rPr>
  </w:style>
  <w:style w:type="paragraph" w:styleId="Header">
    <w:name w:val="header"/>
    <w:basedOn w:val="Normal"/>
    <w:link w:val="HeaderChar"/>
    <w:uiPriority w:val="99"/>
    <w:rsid w:val="00BD7BCA"/>
    <w:pPr>
      <w:tabs>
        <w:tab w:val="center" w:pos="4320"/>
        <w:tab w:val="right" w:pos="8640"/>
      </w:tabs>
    </w:pPr>
  </w:style>
  <w:style w:type="paragraph" w:styleId="Footer">
    <w:name w:val="footer"/>
    <w:basedOn w:val="Normal"/>
    <w:link w:val="FooterChar"/>
    <w:rsid w:val="00BD7BCA"/>
    <w:pPr>
      <w:tabs>
        <w:tab w:val="center" w:pos="4320"/>
        <w:tab w:val="right" w:pos="8640"/>
      </w:tabs>
    </w:pPr>
  </w:style>
  <w:style w:type="paragraph" w:customStyle="1" w:styleId="ITRCCitation">
    <w:name w:val="ITRC Citation"/>
    <w:rsid w:val="00CC5481"/>
    <w:pPr>
      <w:autoSpaceDE w:val="0"/>
      <w:autoSpaceDN w:val="0"/>
      <w:adjustRightInd w:val="0"/>
      <w:ind w:left="720" w:hanging="720"/>
    </w:pPr>
    <w:rPr>
      <w:sz w:val="24"/>
      <w:szCs w:val="24"/>
    </w:rPr>
  </w:style>
  <w:style w:type="paragraph" w:customStyle="1" w:styleId="ITRCCoverDate">
    <w:name w:val="ITRC Cover Date"/>
    <w:rsid w:val="00567F87"/>
    <w:pPr>
      <w:jc w:val="center"/>
    </w:pPr>
    <w:rPr>
      <w:b/>
      <w:color w:val="000080"/>
      <w:sz w:val="28"/>
    </w:rPr>
  </w:style>
  <w:style w:type="paragraph" w:customStyle="1" w:styleId="ITRCCoverDocType">
    <w:name w:val="ITRC Cover Doc Type"/>
    <w:rsid w:val="00205B2A"/>
    <w:rPr>
      <w:b/>
      <w:color w:val="097709"/>
      <w:sz w:val="36"/>
    </w:rPr>
  </w:style>
  <w:style w:type="paragraph" w:customStyle="1" w:styleId="ITRCCoverText">
    <w:name w:val="ITRC Cover Text"/>
    <w:rsid w:val="009B3D92"/>
    <w:pPr>
      <w:jc w:val="center"/>
    </w:pPr>
    <w:rPr>
      <w:b/>
      <w:color w:val="000080"/>
      <w:sz w:val="24"/>
    </w:rPr>
  </w:style>
  <w:style w:type="paragraph" w:customStyle="1" w:styleId="ITRCCoverTitle">
    <w:name w:val="ITRC Cover Title"/>
    <w:rsid w:val="009B3D92"/>
    <w:pPr>
      <w:jc w:val="center"/>
    </w:pPr>
    <w:rPr>
      <w:b/>
      <w:color w:val="000080"/>
      <w:sz w:val="36"/>
    </w:rPr>
  </w:style>
  <w:style w:type="paragraph" w:customStyle="1" w:styleId="ITRCBulletedList">
    <w:name w:val="ITRC Bulleted List"/>
    <w:basedOn w:val="Normal"/>
    <w:rsid w:val="001D1F90"/>
    <w:pPr>
      <w:numPr>
        <w:numId w:val="27"/>
      </w:numPr>
    </w:pPr>
    <w:rPr>
      <w:rFonts w:eastAsia="Times"/>
      <w:szCs w:val="24"/>
    </w:rPr>
  </w:style>
  <w:style w:type="paragraph" w:customStyle="1" w:styleId="ITRCBlankpagenote">
    <w:name w:val="ITRC Blank page note"/>
    <w:basedOn w:val="Normal"/>
    <w:rsid w:val="00E4232D"/>
    <w:pPr>
      <w:jc w:val="center"/>
    </w:pPr>
  </w:style>
  <w:style w:type="paragraph" w:customStyle="1" w:styleId="ITRCExecSummarySubhead">
    <w:name w:val="ITRC Exec Summary Subhead"/>
    <w:basedOn w:val="Normal"/>
    <w:rsid w:val="00E4232D"/>
    <w:rPr>
      <w:i/>
    </w:rPr>
  </w:style>
  <w:style w:type="paragraph" w:customStyle="1" w:styleId="ITRCAcronymlist">
    <w:name w:val="ITRC Acronym list"/>
    <w:basedOn w:val="Normal"/>
    <w:rsid w:val="00E4232D"/>
    <w:pPr>
      <w:tabs>
        <w:tab w:val="left" w:pos="1440"/>
      </w:tabs>
      <w:ind w:left="1425" w:hanging="1425"/>
    </w:pPr>
  </w:style>
  <w:style w:type="paragraph" w:customStyle="1" w:styleId="ITRCPage1Title">
    <w:name w:val="ITRC Page 1 Title"/>
    <w:rsid w:val="00B9341B"/>
    <w:pPr>
      <w:jc w:val="center"/>
    </w:pPr>
    <w:rPr>
      <w:rFonts w:ascii="Times New Roman Bold" w:hAnsi="Times New Roman Bold"/>
      <w:b/>
      <w:caps/>
      <w:sz w:val="24"/>
      <w:szCs w:val="24"/>
    </w:rPr>
  </w:style>
  <w:style w:type="paragraph" w:customStyle="1" w:styleId="ITRCTableText">
    <w:name w:val="ITRC Table Text"/>
    <w:basedOn w:val="Normal"/>
    <w:rsid w:val="00AA5CC5"/>
    <w:rPr>
      <w:sz w:val="20"/>
    </w:rPr>
  </w:style>
  <w:style w:type="paragraph" w:customStyle="1" w:styleId="ITRCFootnotetext">
    <w:name w:val="ITRC Footnote text"/>
    <w:basedOn w:val="Normal"/>
    <w:rsid w:val="00E4232D"/>
    <w:rPr>
      <w:sz w:val="16"/>
      <w:szCs w:val="16"/>
    </w:rPr>
  </w:style>
  <w:style w:type="paragraph" w:customStyle="1" w:styleId="ITRCEquationChemRxn">
    <w:name w:val="ITRC Equation/Chem Rxn"/>
    <w:rsid w:val="006D4036"/>
    <w:pPr>
      <w:jc w:val="center"/>
    </w:pPr>
  </w:style>
  <w:style w:type="paragraph" w:customStyle="1" w:styleId="ITRCGlossaryTerm">
    <w:name w:val="ITRC Glossary Term"/>
    <w:basedOn w:val="Normal"/>
    <w:rsid w:val="00E4232D"/>
    <w:rPr>
      <w:rFonts w:ascii="Times New Roman Bold" w:hAnsi="Times New Roman Bold"/>
      <w:b/>
      <w:iCs/>
      <w:szCs w:val="24"/>
    </w:rPr>
  </w:style>
  <w:style w:type="paragraph" w:customStyle="1" w:styleId="ITRCGlossaryDefinition">
    <w:name w:val="ITRC Glossary Definition"/>
    <w:basedOn w:val="paragraph"/>
    <w:rsid w:val="00CC685E"/>
    <w:pPr>
      <w:ind w:left="480"/>
      <w:textAlignment w:val="baseline"/>
    </w:pPr>
    <w:rPr>
      <w:color w:val="000000"/>
    </w:rPr>
  </w:style>
  <w:style w:type="paragraph" w:customStyle="1" w:styleId="ITRCGlossarytitle">
    <w:name w:val="ITRC Glossary title"/>
    <w:rsid w:val="00B9341B"/>
    <w:pPr>
      <w:jc w:val="center"/>
    </w:pPr>
    <w:rPr>
      <w:rFonts w:ascii="Times New Roman Bold" w:hAnsi="Times New Roman Bold"/>
      <w:b/>
      <w:caps/>
      <w:sz w:val="24"/>
      <w:szCs w:val="24"/>
    </w:rPr>
  </w:style>
  <w:style w:type="paragraph" w:customStyle="1" w:styleId="ITRCTeamContacttext">
    <w:name w:val="ITRC Team Contact text"/>
    <w:basedOn w:val="Normal"/>
    <w:rsid w:val="00E810A4"/>
    <w:pPr>
      <w:spacing w:after="0"/>
      <w:ind w:left="187" w:hanging="187"/>
    </w:pPr>
    <w:rPr>
      <w:szCs w:val="24"/>
    </w:rPr>
  </w:style>
  <w:style w:type="paragraph" w:customStyle="1" w:styleId="ITRCHeader">
    <w:name w:val="ITRC Header"/>
    <w:basedOn w:val="Normal"/>
    <w:rsid w:val="006B3A0B"/>
    <w:pPr>
      <w:pBdr>
        <w:bottom w:val="single" w:sz="2" w:space="6" w:color="auto"/>
      </w:pBdr>
      <w:tabs>
        <w:tab w:val="right" w:pos="9360"/>
      </w:tabs>
    </w:pPr>
    <w:rPr>
      <w:i/>
      <w:sz w:val="20"/>
    </w:rPr>
  </w:style>
  <w:style w:type="paragraph" w:customStyle="1" w:styleId="ITRCTableHeading">
    <w:name w:val="ITRC Table Heading"/>
    <w:basedOn w:val="ITRCTableText"/>
    <w:rsid w:val="001D1F90"/>
    <w:pPr>
      <w:jc w:val="center"/>
    </w:pPr>
    <w:rPr>
      <w:b/>
      <w:bCs/>
    </w:rPr>
  </w:style>
  <w:style w:type="paragraph" w:customStyle="1" w:styleId="ITRCTableColumnHeading">
    <w:name w:val="ITRC Table Column Heading"/>
    <w:basedOn w:val="ITRCTableText"/>
    <w:rsid w:val="00486189"/>
    <w:pPr>
      <w:jc w:val="center"/>
    </w:pPr>
    <w:rPr>
      <w:b/>
      <w:bCs/>
    </w:rPr>
  </w:style>
  <w:style w:type="paragraph" w:customStyle="1" w:styleId="ITRCTableRowHeading">
    <w:name w:val="ITRC Table Row Heading"/>
    <w:basedOn w:val="ITRCTableText"/>
    <w:rsid w:val="00486189"/>
    <w:rPr>
      <w:b/>
      <w:bCs/>
    </w:rPr>
  </w:style>
  <w:style w:type="paragraph" w:customStyle="1" w:styleId="ITRCFiguretitle">
    <w:name w:val="ITRC Figure title"/>
    <w:basedOn w:val="Normal"/>
    <w:rsid w:val="00EE0416"/>
    <w:pPr>
      <w:spacing w:before="120"/>
      <w:jc w:val="center"/>
    </w:pPr>
    <w:rPr>
      <w:b/>
    </w:rPr>
  </w:style>
  <w:style w:type="paragraph" w:customStyle="1" w:styleId="ITRCPrefaceHeading">
    <w:name w:val="ITRC Preface Heading"/>
    <w:basedOn w:val="Heading1"/>
    <w:rsid w:val="007B1286"/>
    <w:rPr>
      <w:b w:val="0"/>
    </w:rPr>
  </w:style>
  <w:style w:type="paragraph" w:customStyle="1" w:styleId="ITRCFrontMatterHeading">
    <w:name w:val="ITRC Front Matter Heading"/>
    <w:rsid w:val="006423E1"/>
    <w:pPr>
      <w:spacing w:after="120"/>
    </w:pPr>
    <w:rPr>
      <w:rFonts w:ascii="Times New Roman Bold" w:hAnsi="Times New Roman Bold"/>
      <w:caps/>
      <w:sz w:val="24"/>
      <w:szCs w:val="24"/>
    </w:rPr>
  </w:style>
  <w:style w:type="paragraph" w:customStyle="1" w:styleId="ITRCAppendix2ndlevelsubsection">
    <w:name w:val="ITRC Appendix 2nd level subsection"/>
    <w:next w:val="Normal"/>
    <w:rsid w:val="00EF791C"/>
    <w:pPr>
      <w:spacing w:before="120" w:after="120"/>
    </w:pPr>
    <w:rPr>
      <w:sz w:val="24"/>
      <w:szCs w:val="24"/>
    </w:rPr>
  </w:style>
  <w:style w:type="paragraph" w:customStyle="1" w:styleId="ITRCTableTitle">
    <w:name w:val="ITRC Table Title"/>
    <w:basedOn w:val="ITRCTableText"/>
    <w:rsid w:val="00AA5CC5"/>
    <w:pPr>
      <w:keepNext/>
      <w:jc w:val="center"/>
    </w:pPr>
    <w:rPr>
      <w:b/>
      <w:bCs/>
      <w:sz w:val="24"/>
    </w:rPr>
  </w:style>
  <w:style w:type="paragraph" w:customStyle="1" w:styleId="ITRCTitlePageTitle">
    <w:name w:val="ITRC Title Page Title"/>
    <w:basedOn w:val="Normal"/>
    <w:rsid w:val="00E4232D"/>
    <w:pPr>
      <w:jc w:val="center"/>
    </w:pPr>
    <w:rPr>
      <w:b/>
      <w:sz w:val="36"/>
    </w:rPr>
  </w:style>
  <w:style w:type="paragraph" w:customStyle="1" w:styleId="ITRCTOCHeading">
    <w:name w:val="ITRC TOC Heading"/>
    <w:rsid w:val="00DE5D93"/>
    <w:pPr>
      <w:keepNext/>
      <w:tabs>
        <w:tab w:val="left" w:pos="720"/>
        <w:tab w:val="left" w:pos="1260"/>
        <w:tab w:val="right" w:leader="dot" w:pos="9270"/>
      </w:tabs>
      <w:jc w:val="center"/>
    </w:pPr>
    <w:rPr>
      <w:rFonts w:ascii="Times New Roman Bold" w:hAnsi="Times New Roman Bold"/>
      <w:b/>
      <w:caps/>
      <w:sz w:val="24"/>
      <w:szCs w:val="24"/>
    </w:rPr>
  </w:style>
  <w:style w:type="paragraph" w:customStyle="1" w:styleId="ITRCAppendix0lvlsectionheading">
    <w:name w:val="ITRC Appendix 0 lvl section heading"/>
    <w:next w:val="Normal"/>
    <w:rsid w:val="009C0C23"/>
    <w:pPr>
      <w:keepNext/>
      <w:pageBreakBefore/>
      <w:numPr>
        <w:numId w:val="39"/>
      </w:numPr>
      <w:spacing w:before="480" w:after="240"/>
      <w:ind w:left="0" w:firstLine="0"/>
    </w:pPr>
    <w:rPr>
      <w:rFonts w:ascii="Times New Roman Bold" w:hAnsi="Times New Roman Bold"/>
      <w:b/>
      <w:caps/>
      <w:sz w:val="24"/>
      <w:szCs w:val="24"/>
    </w:rPr>
  </w:style>
  <w:style w:type="paragraph" w:customStyle="1" w:styleId="ITRCAppendix1stlvlSubsection">
    <w:name w:val="ITRC Appendix 1st lvl Subsection"/>
    <w:next w:val="Normal"/>
    <w:rsid w:val="009C0C23"/>
    <w:pPr>
      <w:keepNext/>
      <w:spacing w:before="240" w:after="240"/>
    </w:pPr>
    <w:rPr>
      <w:b/>
      <w:sz w:val="24"/>
    </w:rPr>
  </w:style>
  <w:style w:type="character" w:customStyle="1" w:styleId="Heading5Char">
    <w:name w:val="Heading 5 Char"/>
    <w:basedOn w:val="DefaultParagraphFont"/>
    <w:link w:val="Heading5"/>
    <w:semiHidden/>
    <w:rsid w:val="006423E1"/>
    <w:rPr>
      <w:rFonts w:asciiTheme="majorHAnsi" w:eastAsiaTheme="majorEastAsia" w:hAnsiTheme="majorHAnsi" w:cstheme="majorBidi"/>
      <w:color w:val="365F91" w:themeColor="accent1" w:themeShade="BF"/>
      <w:sz w:val="24"/>
    </w:rPr>
  </w:style>
  <w:style w:type="paragraph" w:customStyle="1" w:styleId="ITRCBlockIndent">
    <w:name w:val="ITRC Block Indent"/>
    <w:rsid w:val="001D1F90"/>
    <w:pPr>
      <w:ind w:left="720" w:right="720"/>
    </w:pPr>
    <w:rPr>
      <w:rFonts w:eastAsia="Times"/>
      <w:sz w:val="24"/>
      <w:szCs w:val="24"/>
    </w:rPr>
  </w:style>
  <w:style w:type="character" w:customStyle="1" w:styleId="Heading6Char">
    <w:name w:val="Heading 6 Char"/>
    <w:basedOn w:val="DefaultParagraphFont"/>
    <w:link w:val="Heading6"/>
    <w:semiHidden/>
    <w:rsid w:val="006423E1"/>
    <w:rPr>
      <w:rFonts w:asciiTheme="majorHAnsi" w:eastAsiaTheme="majorEastAsia" w:hAnsiTheme="majorHAnsi" w:cstheme="majorBidi"/>
      <w:color w:val="243F60" w:themeColor="accent1" w:themeShade="7F"/>
      <w:sz w:val="24"/>
    </w:rPr>
  </w:style>
  <w:style w:type="paragraph" w:customStyle="1" w:styleId="ITRCemailaddress">
    <w:name w:val="ITRC email address"/>
    <w:basedOn w:val="Normal"/>
    <w:rsid w:val="001D1F90"/>
  </w:style>
  <w:style w:type="character" w:styleId="Hyperlink">
    <w:name w:val="Hyperlink"/>
    <w:basedOn w:val="DefaultParagraphFont"/>
    <w:uiPriority w:val="99"/>
    <w:rsid w:val="004F6694"/>
    <w:rPr>
      <w:color w:val="0000FF"/>
      <w:u w:val="single"/>
    </w:rPr>
  </w:style>
  <w:style w:type="character" w:styleId="CommentReference">
    <w:name w:val="annotation reference"/>
    <w:basedOn w:val="DefaultParagraphFont"/>
    <w:semiHidden/>
    <w:rsid w:val="00E479A4"/>
    <w:rPr>
      <w:sz w:val="16"/>
      <w:szCs w:val="16"/>
    </w:rPr>
  </w:style>
  <w:style w:type="paragraph" w:styleId="CommentText">
    <w:name w:val="annotation text"/>
    <w:basedOn w:val="Normal"/>
    <w:link w:val="CommentTextChar"/>
    <w:semiHidden/>
    <w:rsid w:val="00E479A4"/>
    <w:rPr>
      <w:sz w:val="20"/>
    </w:rPr>
  </w:style>
  <w:style w:type="paragraph" w:styleId="CommentSubject">
    <w:name w:val="annotation subject"/>
    <w:basedOn w:val="CommentText"/>
    <w:next w:val="CommentText"/>
    <w:link w:val="CommentSubjectChar"/>
    <w:semiHidden/>
    <w:rsid w:val="00E479A4"/>
    <w:rPr>
      <w:b/>
      <w:bCs/>
    </w:rPr>
  </w:style>
  <w:style w:type="paragraph" w:styleId="BalloonText">
    <w:name w:val="Balloon Text"/>
    <w:basedOn w:val="Normal"/>
    <w:link w:val="BalloonTextChar"/>
    <w:semiHidden/>
    <w:rsid w:val="00E479A4"/>
    <w:rPr>
      <w:rFonts w:ascii="Tahoma" w:hAnsi="Tahoma" w:cs="Tahoma"/>
      <w:sz w:val="16"/>
      <w:szCs w:val="16"/>
    </w:rPr>
  </w:style>
  <w:style w:type="table" w:styleId="TableGrid">
    <w:name w:val="Table Grid"/>
    <w:basedOn w:val="TableNormal"/>
    <w:rsid w:val="004C0D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536F"/>
    <w:pPr>
      <w:spacing w:after="120"/>
    </w:pPr>
  </w:style>
  <w:style w:type="character" w:customStyle="1" w:styleId="BodyTextChar">
    <w:name w:val="Body Text Char"/>
    <w:basedOn w:val="DefaultParagraphFont"/>
    <w:link w:val="BodyText"/>
    <w:rsid w:val="00BB536F"/>
    <w:rPr>
      <w:sz w:val="24"/>
    </w:rPr>
  </w:style>
  <w:style w:type="paragraph" w:customStyle="1" w:styleId="ITRCDisclaimerText">
    <w:name w:val="ITRC Disclaimer Text"/>
    <w:qFormat/>
    <w:rsid w:val="00FB4A49"/>
    <w:pPr>
      <w:spacing w:after="240"/>
    </w:pPr>
    <w:rPr>
      <w:sz w:val="22"/>
    </w:rPr>
  </w:style>
  <w:style w:type="paragraph" w:customStyle="1" w:styleId="ITRCDisclaimerHeading">
    <w:name w:val="ITRC Disclaimer Heading"/>
    <w:next w:val="ITRCDisclaimerText"/>
    <w:qFormat/>
    <w:rsid w:val="00835520"/>
    <w:pPr>
      <w:spacing w:before="240" w:after="120"/>
    </w:pPr>
    <w:rPr>
      <w:rFonts w:ascii="Times New Roman Bold" w:hAnsi="Times New Roman Bold"/>
      <w:b/>
      <w:caps/>
      <w:sz w:val="24"/>
    </w:rPr>
  </w:style>
  <w:style w:type="character" w:customStyle="1" w:styleId="Heading7Char">
    <w:name w:val="Heading 7 Char"/>
    <w:basedOn w:val="DefaultParagraphFont"/>
    <w:link w:val="Heading7"/>
    <w:semiHidden/>
    <w:rsid w:val="006423E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6423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423E1"/>
    <w:rPr>
      <w:rFonts w:asciiTheme="majorHAnsi" w:eastAsiaTheme="majorEastAsia" w:hAnsiTheme="majorHAnsi" w:cstheme="majorBidi"/>
      <w:i/>
      <w:iCs/>
      <w:color w:val="272727" w:themeColor="text1" w:themeTint="D8"/>
      <w:sz w:val="21"/>
      <w:szCs w:val="21"/>
    </w:rPr>
  </w:style>
  <w:style w:type="paragraph" w:customStyle="1" w:styleId="ITRCFiguresource">
    <w:name w:val="ITRC Figure source"/>
    <w:basedOn w:val="ITRCFiguretitle"/>
    <w:qFormat/>
    <w:rsid w:val="00EE0416"/>
    <w:rPr>
      <w:b w:val="0"/>
      <w:i/>
    </w:rPr>
  </w:style>
  <w:style w:type="paragraph" w:styleId="Caption">
    <w:name w:val="caption"/>
    <w:basedOn w:val="Normal"/>
    <w:next w:val="Normal"/>
    <w:unhideWhenUsed/>
    <w:qFormat/>
    <w:rsid w:val="00EE0416"/>
    <w:pPr>
      <w:spacing w:after="200"/>
    </w:pPr>
    <w:rPr>
      <w:i/>
      <w:iCs/>
      <w:color w:val="1F497D" w:themeColor="text2"/>
      <w:sz w:val="18"/>
      <w:szCs w:val="18"/>
    </w:rPr>
  </w:style>
  <w:style w:type="paragraph" w:styleId="ListParagraph">
    <w:name w:val="List Paragraph"/>
    <w:basedOn w:val="Normal"/>
    <w:uiPriority w:val="34"/>
    <w:qFormat/>
    <w:rsid w:val="00EE0416"/>
    <w:pPr>
      <w:ind w:left="720"/>
      <w:contextualSpacing/>
    </w:pPr>
  </w:style>
  <w:style w:type="paragraph" w:customStyle="1" w:styleId="ITRCHyperlink">
    <w:name w:val="ITRC Hyperlink"/>
    <w:basedOn w:val="ITRCTeamContacttext"/>
    <w:qFormat/>
    <w:rsid w:val="00E810A4"/>
    <w:rPr>
      <w:color w:val="365F91" w:themeColor="accent1" w:themeShade="BF"/>
    </w:rPr>
  </w:style>
  <w:style w:type="paragraph" w:customStyle="1" w:styleId="paragraph">
    <w:name w:val="paragraph"/>
    <w:basedOn w:val="Normal"/>
    <w:rsid w:val="00CC685E"/>
    <w:pPr>
      <w:spacing w:before="100" w:beforeAutospacing="1" w:after="100" w:afterAutospacing="1"/>
    </w:pPr>
    <w:rPr>
      <w:szCs w:val="24"/>
    </w:rPr>
  </w:style>
  <w:style w:type="character" w:customStyle="1" w:styleId="normaltextrun">
    <w:name w:val="normaltextrun"/>
    <w:basedOn w:val="DefaultParagraphFont"/>
    <w:rsid w:val="00CC685E"/>
  </w:style>
  <w:style w:type="character" w:customStyle="1" w:styleId="eop">
    <w:name w:val="eop"/>
    <w:basedOn w:val="DefaultParagraphFont"/>
    <w:rsid w:val="00CC685E"/>
  </w:style>
  <w:style w:type="character" w:customStyle="1" w:styleId="spellingerror">
    <w:name w:val="spellingerror"/>
    <w:basedOn w:val="DefaultParagraphFont"/>
    <w:rsid w:val="00CC685E"/>
  </w:style>
  <w:style w:type="paragraph" w:styleId="Revision">
    <w:name w:val="Revision"/>
    <w:hidden/>
    <w:uiPriority w:val="99"/>
    <w:semiHidden/>
    <w:rsid w:val="00BC62C1"/>
    <w:rPr>
      <w:sz w:val="24"/>
    </w:rPr>
  </w:style>
  <w:style w:type="paragraph" w:styleId="TableofFigures">
    <w:name w:val="table of figures"/>
    <w:basedOn w:val="Normal"/>
    <w:next w:val="Normal"/>
    <w:uiPriority w:val="99"/>
    <w:unhideWhenUsed/>
    <w:rsid w:val="007258F3"/>
    <w:pPr>
      <w:spacing w:after="0"/>
    </w:pPr>
  </w:style>
  <w:style w:type="paragraph" w:customStyle="1" w:styleId="ITRCTextBoxTitle">
    <w:name w:val="ITRC Text Box Title"/>
    <w:basedOn w:val="Normal"/>
    <w:qFormat/>
    <w:rsid w:val="00A8357D"/>
    <w:pPr>
      <w:spacing w:before="120"/>
      <w:jc w:val="center"/>
    </w:pPr>
    <w:rPr>
      <w:rFonts w:ascii="Arial" w:hAnsi="Arial" w:cs="Arial"/>
      <w:b/>
      <w:i/>
      <w:sz w:val="22"/>
      <w:szCs w:val="22"/>
    </w:rPr>
  </w:style>
  <w:style w:type="paragraph" w:customStyle="1" w:styleId="ITRCTableTextCentered">
    <w:name w:val="ITRC Table Text Centered"/>
    <w:basedOn w:val="ITRCTableText"/>
    <w:qFormat/>
    <w:rsid w:val="00F95A47"/>
    <w:pPr>
      <w:jc w:val="center"/>
    </w:pPr>
  </w:style>
  <w:style w:type="character" w:customStyle="1" w:styleId="CommentTextChar">
    <w:name w:val="Comment Text Char"/>
    <w:basedOn w:val="DefaultParagraphFont"/>
    <w:link w:val="CommentText"/>
    <w:semiHidden/>
    <w:rsid w:val="00C81E03"/>
  </w:style>
  <w:style w:type="character" w:styleId="UnresolvedMention">
    <w:name w:val="Unresolved Mention"/>
    <w:basedOn w:val="DefaultParagraphFont"/>
    <w:uiPriority w:val="99"/>
    <w:semiHidden/>
    <w:unhideWhenUsed/>
    <w:rsid w:val="00E0012C"/>
    <w:rPr>
      <w:color w:val="605E5C"/>
      <w:shd w:val="clear" w:color="auto" w:fill="E1DFDD"/>
    </w:rPr>
  </w:style>
  <w:style w:type="paragraph" w:styleId="Bibliography">
    <w:name w:val="Bibliography"/>
    <w:basedOn w:val="Normal"/>
    <w:next w:val="Normal"/>
    <w:uiPriority w:val="37"/>
    <w:unhideWhenUsed/>
    <w:rsid w:val="0083303D"/>
    <w:pPr>
      <w:ind w:left="720" w:hanging="720"/>
    </w:pPr>
  </w:style>
  <w:style w:type="character" w:customStyle="1" w:styleId="fontstyle01">
    <w:name w:val="fontstyle01"/>
    <w:basedOn w:val="DefaultParagraphFont"/>
    <w:rsid w:val="009D69A4"/>
    <w:rPr>
      <w:rFonts w:ascii="TimesNewRomanPSMT" w:hAnsi="TimesNewRomanPSMT" w:hint="default"/>
      <w:b w:val="0"/>
      <w:bCs w:val="0"/>
      <w:i w:val="0"/>
      <w:iCs w:val="0"/>
      <w:color w:val="000000"/>
      <w:sz w:val="20"/>
      <w:szCs w:val="20"/>
    </w:rPr>
  </w:style>
  <w:style w:type="character" w:customStyle="1" w:styleId="Heading1Char">
    <w:name w:val="Heading 1 Char"/>
    <w:aliases w:val="ITRC Section title Char"/>
    <w:basedOn w:val="DefaultParagraphFont"/>
    <w:link w:val="Heading1"/>
    <w:rsid w:val="003841B3"/>
    <w:rPr>
      <w:rFonts w:ascii="Times New Roman Bold" w:hAnsi="Times New Roman Bold"/>
      <w:b/>
      <w:caps/>
      <w:sz w:val="24"/>
      <w:szCs w:val="24"/>
    </w:rPr>
  </w:style>
  <w:style w:type="character" w:customStyle="1" w:styleId="Heading2Char">
    <w:name w:val="Heading 2 Char"/>
    <w:aliases w:val="ITRC 1st Level Subsection Char"/>
    <w:basedOn w:val="DefaultParagraphFont"/>
    <w:link w:val="Heading2"/>
    <w:rsid w:val="003841B3"/>
    <w:rPr>
      <w:b/>
      <w:sz w:val="24"/>
    </w:rPr>
  </w:style>
  <w:style w:type="character" w:customStyle="1" w:styleId="Heading3Char">
    <w:name w:val="Heading 3 Char"/>
    <w:aliases w:val="ITRC 2nd Level Subsection Char"/>
    <w:basedOn w:val="DefaultParagraphFont"/>
    <w:link w:val="Heading3"/>
    <w:rsid w:val="003841B3"/>
    <w:rPr>
      <w:sz w:val="24"/>
      <w:szCs w:val="24"/>
    </w:rPr>
  </w:style>
  <w:style w:type="character" w:customStyle="1" w:styleId="Heading4Char">
    <w:name w:val="Heading 4 Char"/>
    <w:aliases w:val="ITRC 3rd level subsection Char"/>
    <w:basedOn w:val="DefaultParagraphFont"/>
    <w:link w:val="Heading4"/>
    <w:rsid w:val="003841B3"/>
    <w:rPr>
      <w:bCs/>
      <w:i/>
      <w:sz w:val="24"/>
      <w:szCs w:val="28"/>
    </w:rPr>
  </w:style>
  <w:style w:type="character" w:customStyle="1" w:styleId="HeaderChar">
    <w:name w:val="Header Char"/>
    <w:basedOn w:val="DefaultParagraphFont"/>
    <w:link w:val="Header"/>
    <w:uiPriority w:val="99"/>
    <w:rsid w:val="003841B3"/>
    <w:rPr>
      <w:sz w:val="24"/>
    </w:rPr>
  </w:style>
  <w:style w:type="character" w:customStyle="1" w:styleId="FooterChar">
    <w:name w:val="Footer Char"/>
    <w:basedOn w:val="DefaultParagraphFont"/>
    <w:link w:val="Footer"/>
    <w:rsid w:val="003841B3"/>
    <w:rPr>
      <w:sz w:val="24"/>
    </w:rPr>
  </w:style>
  <w:style w:type="character" w:customStyle="1" w:styleId="CommentSubjectChar">
    <w:name w:val="Comment Subject Char"/>
    <w:basedOn w:val="CommentTextChar"/>
    <w:link w:val="CommentSubject"/>
    <w:semiHidden/>
    <w:rsid w:val="003841B3"/>
    <w:rPr>
      <w:b/>
      <w:bCs/>
    </w:rPr>
  </w:style>
  <w:style w:type="character" w:customStyle="1" w:styleId="BalloonTextChar">
    <w:name w:val="Balloon Text Char"/>
    <w:basedOn w:val="DefaultParagraphFont"/>
    <w:link w:val="BalloonText"/>
    <w:semiHidden/>
    <w:rsid w:val="00384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73415">
      <w:bodyDiv w:val="1"/>
      <w:marLeft w:val="0"/>
      <w:marRight w:val="0"/>
      <w:marTop w:val="0"/>
      <w:marBottom w:val="0"/>
      <w:divBdr>
        <w:top w:val="none" w:sz="0" w:space="0" w:color="auto"/>
        <w:left w:val="none" w:sz="0" w:space="0" w:color="auto"/>
        <w:bottom w:val="none" w:sz="0" w:space="0" w:color="auto"/>
        <w:right w:val="none" w:sz="0" w:space="0" w:color="auto"/>
      </w:divBdr>
    </w:div>
    <w:div w:id="430013627">
      <w:bodyDiv w:val="1"/>
      <w:marLeft w:val="0"/>
      <w:marRight w:val="0"/>
      <w:marTop w:val="0"/>
      <w:marBottom w:val="0"/>
      <w:divBdr>
        <w:top w:val="none" w:sz="0" w:space="0" w:color="auto"/>
        <w:left w:val="none" w:sz="0" w:space="0" w:color="auto"/>
        <w:bottom w:val="none" w:sz="0" w:space="0" w:color="auto"/>
        <w:right w:val="none" w:sz="0" w:space="0" w:color="auto"/>
      </w:divBdr>
    </w:div>
    <w:div w:id="456293220">
      <w:bodyDiv w:val="1"/>
      <w:marLeft w:val="0"/>
      <w:marRight w:val="0"/>
      <w:marTop w:val="0"/>
      <w:marBottom w:val="0"/>
      <w:divBdr>
        <w:top w:val="none" w:sz="0" w:space="0" w:color="auto"/>
        <w:left w:val="none" w:sz="0" w:space="0" w:color="auto"/>
        <w:bottom w:val="none" w:sz="0" w:space="0" w:color="auto"/>
        <w:right w:val="none" w:sz="0" w:space="0" w:color="auto"/>
      </w:divBdr>
      <w:divsChild>
        <w:div w:id="47807656">
          <w:marLeft w:val="0"/>
          <w:marRight w:val="0"/>
          <w:marTop w:val="0"/>
          <w:marBottom w:val="0"/>
          <w:divBdr>
            <w:top w:val="none" w:sz="0" w:space="0" w:color="auto"/>
            <w:left w:val="none" w:sz="0" w:space="0" w:color="auto"/>
            <w:bottom w:val="none" w:sz="0" w:space="0" w:color="auto"/>
            <w:right w:val="none" w:sz="0" w:space="0" w:color="auto"/>
          </w:divBdr>
        </w:div>
        <w:div w:id="1608272790">
          <w:marLeft w:val="0"/>
          <w:marRight w:val="0"/>
          <w:marTop w:val="0"/>
          <w:marBottom w:val="0"/>
          <w:divBdr>
            <w:top w:val="none" w:sz="0" w:space="0" w:color="auto"/>
            <w:left w:val="none" w:sz="0" w:space="0" w:color="auto"/>
            <w:bottom w:val="none" w:sz="0" w:space="0" w:color="auto"/>
            <w:right w:val="none" w:sz="0" w:space="0" w:color="auto"/>
          </w:divBdr>
        </w:div>
        <w:div w:id="1202597680">
          <w:marLeft w:val="0"/>
          <w:marRight w:val="0"/>
          <w:marTop w:val="0"/>
          <w:marBottom w:val="0"/>
          <w:divBdr>
            <w:top w:val="none" w:sz="0" w:space="0" w:color="auto"/>
            <w:left w:val="none" w:sz="0" w:space="0" w:color="auto"/>
            <w:bottom w:val="none" w:sz="0" w:space="0" w:color="auto"/>
            <w:right w:val="none" w:sz="0" w:space="0" w:color="auto"/>
          </w:divBdr>
        </w:div>
        <w:div w:id="1611163254">
          <w:marLeft w:val="0"/>
          <w:marRight w:val="0"/>
          <w:marTop w:val="0"/>
          <w:marBottom w:val="0"/>
          <w:divBdr>
            <w:top w:val="none" w:sz="0" w:space="0" w:color="auto"/>
            <w:left w:val="none" w:sz="0" w:space="0" w:color="auto"/>
            <w:bottom w:val="none" w:sz="0" w:space="0" w:color="auto"/>
            <w:right w:val="none" w:sz="0" w:space="0" w:color="auto"/>
          </w:divBdr>
        </w:div>
        <w:div w:id="1495799368">
          <w:marLeft w:val="0"/>
          <w:marRight w:val="0"/>
          <w:marTop w:val="0"/>
          <w:marBottom w:val="0"/>
          <w:divBdr>
            <w:top w:val="none" w:sz="0" w:space="0" w:color="auto"/>
            <w:left w:val="none" w:sz="0" w:space="0" w:color="auto"/>
            <w:bottom w:val="none" w:sz="0" w:space="0" w:color="auto"/>
            <w:right w:val="none" w:sz="0" w:space="0" w:color="auto"/>
          </w:divBdr>
        </w:div>
        <w:div w:id="1221137011">
          <w:marLeft w:val="0"/>
          <w:marRight w:val="0"/>
          <w:marTop w:val="0"/>
          <w:marBottom w:val="0"/>
          <w:divBdr>
            <w:top w:val="none" w:sz="0" w:space="0" w:color="auto"/>
            <w:left w:val="none" w:sz="0" w:space="0" w:color="auto"/>
            <w:bottom w:val="none" w:sz="0" w:space="0" w:color="auto"/>
            <w:right w:val="none" w:sz="0" w:space="0" w:color="auto"/>
          </w:divBdr>
        </w:div>
        <w:div w:id="1266419437">
          <w:marLeft w:val="0"/>
          <w:marRight w:val="0"/>
          <w:marTop w:val="0"/>
          <w:marBottom w:val="0"/>
          <w:divBdr>
            <w:top w:val="none" w:sz="0" w:space="0" w:color="auto"/>
            <w:left w:val="none" w:sz="0" w:space="0" w:color="auto"/>
            <w:bottom w:val="none" w:sz="0" w:space="0" w:color="auto"/>
            <w:right w:val="none" w:sz="0" w:space="0" w:color="auto"/>
          </w:divBdr>
        </w:div>
        <w:div w:id="975260426">
          <w:marLeft w:val="0"/>
          <w:marRight w:val="0"/>
          <w:marTop w:val="0"/>
          <w:marBottom w:val="0"/>
          <w:divBdr>
            <w:top w:val="none" w:sz="0" w:space="0" w:color="auto"/>
            <w:left w:val="none" w:sz="0" w:space="0" w:color="auto"/>
            <w:bottom w:val="none" w:sz="0" w:space="0" w:color="auto"/>
            <w:right w:val="none" w:sz="0" w:space="0" w:color="auto"/>
          </w:divBdr>
        </w:div>
        <w:div w:id="1748767876">
          <w:marLeft w:val="0"/>
          <w:marRight w:val="0"/>
          <w:marTop w:val="0"/>
          <w:marBottom w:val="0"/>
          <w:divBdr>
            <w:top w:val="none" w:sz="0" w:space="0" w:color="auto"/>
            <w:left w:val="none" w:sz="0" w:space="0" w:color="auto"/>
            <w:bottom w:val="none" w:sz="0" w:space="0" w:color="auto"/>
            <w:right w:val="none" w:sz="0" w:space="0" w:color="auto"/>
          </w:divBdr>
        </w:div>
        <w:div w:id="384566291">
          <w:marLeft w:val="0"/>
          <w:marRight w:val="0"/>
          <w:marTop w:val="0"/>
          <w:marBottom w:val="0"/>
          <w:divBdr>
            <w:top w:val="none" w:sz="0" w:space="0" w:color="auto"/>
            <w:left w:val="none" w:sz="0" w:space="0" w:color="auto"/>
            <w:bottom w:val="none" w:sz="0" w:space="0" w:color="auto"/>
            <w:right w:val="none" w:sz="0" w:space="0" w:color="auto"/>
          </w:divBdr>
        </w:div>
        <w:div w:id="1301694122">
          <w:marLeft w:val="0"/>
          <w:marRight w:val="0"/>
          <w:marTop w:val="0"/>
          <w:marBottom w:val="0"/>
          <w:divBdr>
            <w:top w:val="none" w:sz="0" w:space="0" w:color="auto"/>
            <w:left w:val="none" w:sz="0" w:space="0" w:color="auto"/>
            <w:bottom w:val="none" w:sz="0" w:space="0" w:color="auto"/>
            <w:right w:val="none" w:sz="0" w:space="0" w:color="auto"/>
          </w:divBdr>
        </w:div>
        <w:div w:id="1989506305">
          <w:marLeft w:val="0"/>
          <w:marRight w:val="0"/>
          <w:marTop w:val="0"/>
          <w:marBottom w:val="0"/>
          <w:divBdr>
            <w:top w:val="none" w:sz="0" w:space="0" w:color="auto"/>
            <w:left w:val="none" w:sz="0" w:space="0" w:color="auto"/>
            <w:bottom w:val="none" w:sz="0" w:space="0" w:color="auto"/>
            <w:right w:val="none" w:sz="0" w:space="0" w:color="auto"/>
          </w:divBdr>
        </w:div>
        <w:div w:id="1153792613">
          <w:marLeft w:val="0"/>
          <w:marRight w:val="0"/>
          <w:marTop w:val="0"/>
          <w:marBottom w:val="0"/>
          <w:divBdr>
            <w:top w:val="none" w:sz="0" w:space="0" w:color="auto"/>
            <w:left w:val="none" w:sz="0" w:space="0" w:color="auto"/>
            <w:bottom w:val="none" w:sz="0" w:space="0" w:color="auto"/>
            <w:right w:val="none" w:sz="0" w:space="0" w:color="auto"/>
          </w:divBdr>
        </w:div>
        <w:div w:id="674915295">
          <w:marLeft w:val="0"/>
          <w:marRight w:val="0"/>
          <w:marTop w:val="0"/>
          <w:marBottom w:val="0"/>
          <w:divBdr>
            <w:top w:val="none" w:sz="0" w:space="0" w:color="auto"/>
            <w:left w:val="none" w:sz="0" w:space="0" w:color="auto"/>
            <w:bottom w:val="none" w:sz="0" w:space="0" w:color="auto"/>
            <w:right w:val="none" w:sz="0" w:space="0" w:color="auto"/>
          </w:divBdr>
        </w:div>
        <w:div w:id="2092434268">
          <w:marLeft w:val="0"/>
          <w:marRight w:val="0"/>
          <w:marTop w:val="0"/>
          <w:marBottom w:val="0"/>
          <w:divBdr>
            <w:top w:val="none" w:sz="0" w:space="0" w:color="auto"/>
            <w:left w:val="none" w:sz="0" w:space="0" w:color="auto"/>
            <w:bottom w:val="none" w:sz="0" w:space="0" w:color="auto"/>
            <w:right w:val="none" w:sz="0" w:space="0" w:color="auto"/>
          </w:divBdr>
        </w:div>
        <w:div w:id="1634019943">
          <w:marLeft w:val="0"/>
          <w:marRight w:val="0"/>
          <w:marTop w:val="0"/>
          <w:marBottom w:val="0"/>
          <w:divBdr>
            <w:top w:val="none" w:sz="0" w:space="0" w:color="auto"/>
            <w:left w:val="none" w:sz="0" w:space="0" w:color="auto"/>
            <w:bottom w:val="none" w:sz="0" w:space="0" w:color="auto"/>
            <w:right w:val="none" w:sz="0" w:space="0" w:color="auto"/>
          </w:divBdr>
        </w:div>
        <w:div w:id="1259292379">
          <w:marLeft w:val="0"/>
          <w:marRight w:val="0"/>
          <w:marTop w:val="0"/>
          <w:marBottom w:val="0"/>
          <w:divBdr>
            <w:top w:val="none" w:sz="0" w:space="0" w:color="auto"/>
            <w:left w:val="none" w:sz="0" w:space="0" w:color="auto"/>
            <w:bottom w:val="none" w:sz="0" w:space="0" w:color="auto"/>
            <w:right w:val="none" w:sz="0" w:space="0" w:color="auto"/>
          </w:divBdr>
        </w:div>
        <w:div w:id="1620911615">
          <w:marLeft w:val="0"/>
          <w:marRight w:val="0"/>
          <w:marTop w:val="0"/>
          <w:marBottom w:val="0"/>
          <w:divBdr>
            <w:top w:val="none" w:sz="0" w:space="0" w:color="auto"/>
            <w:left w:val="none" w:sz="0" w:space="0" w:color="auto"/>
            <w:bottom w:val="none" w:sz="0" w:space="0" w:color="auto"/>
            <w:right w:val="none" w:sz="0" w:space="0" w:color="auto"/>
          </w:divBdr>
        </w:div>
        <w:div w:id="727874394">
          <w:marLeft w:val="0"/>
          <w:marRight w:val="0"/>
          <w:marTop w:val="0"/>
          <w:marBottom w:val="0"/>
          <w:divBdr>
            <w:top w:val="none" w:sz="0" w:space="0" w:color="auto"/>
            <w:left w:val="none" w:sz="0" w:space="0" w:color="auto"/>
            <w:bottom w:val="none" w:sz="0" w:space="0" w:color="auto"/>
            <w:right w:val="none" w:sz="0" w:space="0" w:color="auto"/>
          </w:divBdr>
        </w:div>
        <w:div w:id="1254172030">
          <w:marLeft w:val="0"/>
          <w:marRight w:val="0"/>
          <w:marTop w:val="0"/>
          <w:marBottom w:val="0"/>
          <w:divBdr>
            <w:top w:val="none" w:sz="0" w:space="0" w:color="auto"/>
            <w:left w:val="none" w:sz="0" w:space="0" w:color="auto"/>
            <w:bottom w:val="none" w:sz="0" w:space="0" w:color="auto"/>
            <w:right w:val="none" w:sz="0" w:space="0" w:color="auto"/>
          </w:divBdr>
        </w:div>
        <w:div w:id="1699501325">
          <w:marLeft w:val="0"/>
          <w:marRight w:val="0"/>
          <w:marTop w:val="0"/>
          <w:marBottom w:val="0"/>
          <w:divBdr>
            <w:top w:val="none" w:sz="0" w:space="0" w:color="auto"/>
            <w:left w:val="none" w:sz="0" w:space="0" w:color="auto"/>
            <w:bottom w:val="none" w:sz="0" w:space="0" w:color="auto"/>
            <w:right w:val="none" w:sz="0" w:space="0" w:color="auto"/>
          </w:divBdr>
        </w:div>
        <w:div w:id="131482034">
          <w:marLeft w:val="0"/>
          <w:marRight w:val="0"/>
          <w:marTop w:val="0"/>
          <w:marBottom w:val="0"/>
          <w:divBdr>
            <w:top w:val="none" w:sz="0" w:space="0" w:color="auto"/>
            <w:left w:val="none" w:sz="0" w:space="0" w:color="auto"/>
            <w:bottom w:val="none" w:sz="0" w:space="0" w:color="auto"/>
            <w:right w:val="none" w:sz="0" w:space="0" w:color="auto"/>
          </w:divBdr>
        </w:div>
        <w:div w:id="1565066854">
          <w:marLeft w:val="0"/>
          <w:marRight w:val="0"/>
          <w:marTop w:val="0"/>
          <w:marBottom w:val="0"/>
          <w:divBdr>
            <w:top w:val="none" w:sz="0" w:space="0" w:color="auto"/>
            <w:left w:val="none" w:sz="0" w:space="0" w:color="auto"/>
            <w:bottom w:val="none" w:sz="0" w:space="0" w:color="auto"/>
            <w:right w:val="none" w:sz="0" w:space="0" w:color="auto"/>
          </w:divBdr>
        </w:div>
        <w:div w:id="39398494">
          <w:marLeft w:val="0"/>
          <w:marRight w:val="0"/>
          <w:marTop w:val="0"/>
          <w:marBottom w:val="0"/>
          <w:divBdr>
            <w:top w:val="none" w:sz="0" w:space="0" w:color="auto"/>
            <w:left w:val="none" w:sz="0" w:space="0" w:color="auto"/>
            <w:bottom w:val="none" w:sz="0" w:space="0" w:color="auto"/>
            <w:right w:val="none" w:sz="0" w:space="0" w:color="auto"/>
          </w:divBdr>
        </w:div>
        <w:div w:id="345600951">
          <w:marLeft w:val="0"/>
          <w:marRight w:val="0"/>
          <w:marTop w:val="0"/>
          <w:marBottom w:val="0"/>
          <w:divBdr>
            <w:top w:val="none" w:sz="0" w:space="0" w:color="auto"/>
            <w:left w:val="none" w:sz="0" w:space="0" w:color="auto"/>
            <w:bottom w:val="none" w:sz="0" w:space="0" w:color="auto"/>
            <w:right w:val="none" w:sz="0" w:space="0" w:color="auto"/>
          </w:divBdr>
        </w:div>
        <w:div w:id="1406224980">
          <w:marLeft w:val="0"/>
          <w:marRight w:val="0"/>
          <w:marTop w:val="0"/>
          <w:marBottom w:val="0"/>
          <w:divBdr>
            <w:top w:val="none" w:sz="0" w:space="0" w:color="auto"/>
            <w:left w:val="none" w:sz="0" w:space="0" w:color="auto"/>
            <w:bottom w:val="none" w:sz="0" w:space="0" w:color="auto"/>
            <w:right w:val="none" w:sz="0" w:space="0" w:color="auto"/>
          </w:divBdr>
        </w:div>
        <w:div w:id="100540855">
          <w:marLeft w:val="0"/>
          <w:marRight w:val="0"/>
          <w:marTop w:val="0"/>
          <w:marBottom w:val="0"/>
          <w:divBdr>
            <w:top w:val="none" w:sz="0" w:space="0" w:color="auto"/>
            <w:left w:val="none" w:sz="0" w:space="0" w:color="auto"/>
            <w:bottom w:val="none" w:sz="0" w:space="0" w:color="auto"/>
            <w:right w:val="none" w:sz="0" w:space="0" w:color="auto"/>
          </w:divBdr>
        </w:div>
        <w:div w:id="1991396451">
          <w:marLeft w:val="0"/>
          <w:marRight w:val="0"/>
          <w:marTop w:val="0"/>
          <w:marBottom w:val="0"/>
          <w:divBdr>
            <w:top w:val="none" w:sz="0" w:space="0" w:color="auto"/>
            <w:left w:val="none" w:sz="0" w:space="0" w:color="auto"/>
            <w:bottom w:val="none" w:sz="0" w:space="0" w:color="auto"/>
            <w:right w:val="none" w:sz="0" w:space="0" w:color="auto"/>
          </w:divBdr>
        </w:div>
        <w:div w:id="201216720">
          <w:marLeft w:val="0"/>
          <w:marRight w:val="0"/>
          <w:marTop w:val="0"/>
          <w:marBottom w:val="0"/>
          <w:divBdr>
            <w:top w:val="none" w:sz="0" w:space="0" w:color="auto"/>
            <w:left w:val="none" w:sz="0" w:space="0" w:color="auto"/>
            <w:bottom w:val="none" w:sz="0" w:space="0" w:color="auto"/>
            <w:right w:val="none" w:sz="0" w:space="0" w:color="auto"/>
          </w:divBdr>
        </w:div>
        <w:div w:id="440884091">
          <w:marLeft w:val="0"/>
          <w:marRight w:val="0"/>
          <w:marTop w:val="0"/>
          <w:marBottom w:val="0"/>
          <w:divBdr>
            <w:top w:val="none" w:sz="0" w:space="0" w:color="auto"/>
            <w:left w:val="none" w:sz="0" w:space="0" w:color="auto"/>
            <w:bottom w:val="none" w:sz="0" w:space="0" w:color="auto"/>
            <w:right w:val="none" w:sz="0" w:space="0" w:color="auto"/>
          </w:divBdr>
        </w:div>
        <w:div w:id="789592578">
          <w:marLeft w:val="0"/>
          <w:marRight w:val="0"/>
          <w:marTop w:val="0"/>
          <w:marBottom w:val="0"/>
          <w:divBdr>
            <w:top w:val="none" w:sz="0" w:space="0" w:color="auto"/>
            <w:left w:val="none" w:sz="0" w:space="0" w:color="auto"/>
            <w:bottom w:val="none" w:sz="0" w:space="0" w:color="auto"/>
            <w:right w:val="none" w:sz="0" w:space="0" w:color="auto"/>
          </w:divBdr>
        </w:div>
        <w:div w:id="1951283168">
          <w:marLeft w:val="0"/>
          <w:marRight w:val="0"/>
          <w:marTop w:val="0"/>
          <w:marBottom w:val="0"/>
          <w:divBdr>
            <w:top w:val="none" w:sz="0" w:space="0" w:color="auto"/>
            <w:left w:val="none" w:sz="0" w:space="0" w:color="auto"/>
            <w:bottom w:val="none" w:sz="0" w:space="0" w:color="auto"/>
            <w:right w:val="none" w:sz="0" w:space="0" w:color="auto"/>
          </w:divBdr>
        </w:div>
        <w:div w:id="642808074">
          <w:marLeft w:val="0"/>
          <w:marRight w:val="0"/>
          <w:marTop w:val="0"/>
          <w:marBottom w:val="0"/>
          <w:divBdr>
            <w:top w:val="none" w:sz="0" w:space="0" w:color="auto"/>
            <w:left w:val="none" w:sz="0" w:space="0" w:color="auto"/>
            <w:bottom w:val="none" w:sz="0" w:space="0" w:color="auto"/>
            <w:right w:val="none" w:sz="0" w:space="0" w:color="auto"/>
          </w:divBdr>
        </w:div>
        <w:div w:id="694306812">
          <w:marLeft w:val="0"/>
          <w:marRight w:val="0"/>
          <w:marTop w:val="0"/>
          <w:marBottom w:val="0"/>
          <w:divBdr>
            <w:top w:val="none" w:sz="0" w:space="0" w:color="auto"/>
            <w:left w:val="none" w:sz="0" w:space="0" w:color="auto"/>
            <w:bottom w:val="none" w:sz="0" w:space="0" w:color="auto"/>
            <w:right w:val="none" w:sz="0" w:space="0" w:color="auto"/>
          </w:divBdr>
        </w:div>
        <w:div w:id="662661705">
          <w:marLeft w:val="0"/>
          <w:marRight w:val="0"/>
          <w:marTop w:val="0"/>
          <w:marBottom w:val="0"/>
          <w:divBdr>
            <w:top w:val="none" w:sz="0" w:space="0" w:color="auto"/>
            <w:left w:val="none" w:sz="0" w:space="0" w:color="auto"/>
            <w:bottom w:val="none" w:sz="0" w:space="0" w:color="auto"/>
            <w:right w:val="none" w:sz="0" w:space="0" w:color="auto"/>
          </w:divBdr>
        </w:div>
        <w:div w:id="748387530">
          <w:marLeft w:val="0"/>
          <w:marRight w:val="0"/>
          <w:marTop w:val="0"/>
          <w:marBottom w:val="0"/>
          <w:divBdr>
            <w:top w:val="none" w:sz="0" w:space="0" w:color="auto"/>
            <w:left w:val="none" w:sz="0" w:space="0" w:color="auto"/>
            <w:bottom w:val="none" w:sz="0" w:space="0" w:color="auto"/>
            <w:right w:val="none" w:sz="0" w:space="0" w:color="auto"/>
          </w:divBdr>
        </w:div>
        <w:div w:id="1980764482">
          <w:marLeft w:val="0"/>
          <w:marRight w:val="0"/>
          <w:marTop w:val="0"/>
          <w:marBottom w:val="0"/>
          <w:divBdr>
            <w:top w:val="none" w:sz="0" w:space="0" w:color="auto"/>
            <w:left w:val="none" w:sz="0" w:space="0" w:color="auto"/>
            <w:bottom w:val="none" w:sz="0" w:space="0" w:color="auto"/>
            <w:right w:val="none" w:sz="0" w:space="0" w:color="auto"/>
          </w:divBdr>
        </w:div>
        <w:div w:id="186602385">
          <w:marLeft w:val="0"/>
          <w:marRight w:val="0"/>
          <w:marTop w:val="0"/>
          <w:marBottom w:val="0"/>
          <w:divBdr>
            <w:top w:val="none" w:sz="0" w:space="0" w:color="auto"/>
            <w:left w:val="none" w:sz="0" w:space="0" w:color="auto"/>
            <w:bottom w:val="none" w:sz="0" w:space="0" w:color="auto"/>
            <w:right w:val="none" w:sz="0" w:space="0" w:color="auto"/>
          </w:divBdr>
        </w:div>
        <w:div w:id="257914180">
          <w:marLeft w:val="0"/>
          <w:marRight w:val="0"/>
          <w:marTop w:val="0"/>
          <w:marBottom w:val="0"/>
          <w:divBdr>
            <w:top w:val="none" w:sz="0" w:space="0" w:color="auto"/>
            <w:left w:val="none" w:sz="0" w:space="0" w:color="auto"/>
            <w:bottom w:val="none" w:sz="0" w:space="0" w:color="auto"/>
            <w:right w:val="none" w:sz="0" w:space="0" w:color="auto"/>
          </w:divBdr>
        </w:div>
        <w:div w:id="1458834960">
          <w:marLeft w:val="0"/>
          <w:marRight w:val="0"/>
          <w:marTop w:val="0"/>
          <w:marBottom w:val="0"/>
          <w:divBdr>
            <w:top w:val="none" w:sz="0" w:space="0" w:color="auto"/>
            <w:left w:val="none" w:sz="0" w:space="0" w:color="auto"/>
            <w:bottom w:val="none" w:sz="0" w:space="0" w:color="auto"/>
            <w:right w:val="none" w:sz="0" w:space="0" w:color="auto"/>
          </w:divBdr>
        </w:div>
        <w:div w:id="321130226">
          <w:marLeft w:val="0"/>
          <w:marRight w:val="0"/>
          <w:marTop w:val="0"/>
          <w:marBottom w:val="0"/>
          <w:divBdr>
            <w:top w:val="none" w:sz="0" w:space="0" w:color="auto"/>
            <w:left w:val="none" w:sz="0" w:space="0" w:color="auto"/>
            <w:bottom w:val="none" w:sz="0" w:space="0" w:color="auto"/>
            <w:right w:val="none" w:sz="0" w:space="0" w:color="auto"/>
          </w:divBdr>
        </w:div>
        <w:div w:id="1524710664">
          <w:marLeft w:val="0"/>
          <w:marRight w:val="0"/>
          <w:marTop w:val="0"/>
          <w:marBottom w:val="0"/>
          <w:divBdr>
            <w:top w:val="none" w:sz="0" w:space="0" w:color="auto"/>
            <w:left w:val="none" w:sz="0" w:space="0" w:color="auto"/>
            <w:bottom w:val="none" w:sz="0" w:space="0" w:color="auto"/>
            <w:right w:val="none" w:sz="0" w:space="0" w:color="auto"/>
          </w:divBdr>
        </w:div>
        <w:div w:id="1773233703">
          <w:marLeft w:val="0"/>
          <w:marRight w:val="0"/>
          <w:marTop w:val="0"/>
          <w:marBottom w:val="0"/>
          <w:divBdr>
            <w:top w:val="none" w:sz="0" w:space="0" w:color="auto"/>
            <w:left w:val="none" w:sz="0" w:space="0" w:color="auto"/>
            <w:bottom w:val="none" w:sz="0" w:space="0" w:color="auto"/>
            <w:right w:val="none" w:sz="0" w:space="0" w:color="auto"/>
          </w:divBdr>
        </w:div>
        <w:div w:id="526993236">
          <w:marLeft w:val="0"/>
          <w:marRight w:val="0"/>
          <w:marTop w:val="0"/>
          <w:marBottom w:val="0"/>
          <w:divBdr>
            <w:top w:val="none" w:sz="0" w:space="0" w:color="auto"/>
            <w:left w:val="none" w:sz="0" w:space="0" w:color="auto"/>
            <w:bottom w:val="none" w:sz="0" w:space="0" w:color="auto"/>
            <w:right w:val="none" w:sz="0" w:space="0" w:color="auto"/>
          </w:divBdr>
        </w:div>
        <w:div w:id="96557585">
          <w:marLeft w:val="0"/>
          <w:marRight w:val="0"/>
          <w:marTop w:val="0"/>
          <w:marBottom w:val="0"/>
          <w:divBdr>
            <w:top w:val="none" w:sz="0" w:space="0" w:color="auto"/>
            <w:left w:val="none" w:sz="0" w:space="0" w:color="auto"/>
            <w:bottom w:val="none" w:sz="0" w:space="0" w:color="auto"/>
            <w:right w:val="none" w:sz="0" w:space="0" w:color="auto"/>
          </w:divBdr>
        </w:div>
        <w:div w:id="1890266685">
          <w:marLeft w:val="0"/>
          <w:marRight w:val="0"/>
          <w:marTop w:val="0"/>
          <w:marBottom w:val="0"/>
          <w:divBdr>
            <w:top w:val="none" w:sz="0" w:space="0" w:color="auto"/>
            <w:left w:val="none" w:sz="0" w:space="0" w:color="auto"/>
            <w:bottom w:val="none" w:sz="0" w:space="0" w:color="auto"/>
            <w:right w:val="none" w:sz="0" w:space="0" w:color="auto"/>
          </w:divBdr>
        </w:div>
        <w:div w:id="2141871946">
          <w:marLeft w:val="0"/>
          <w:marRight w:val="0"/>
          <w:marTop w:val="0"/>
          <w:marBottom w:val="0"/>
          <w:divBdr>
            <w:top w:val="none" w:sz="0" w:space="0" w:color="auto"/>
            <w:left w:val="none" w:sz="0" w:space="0" w:color="auto"/>
            <w:bottom w:val="none" w:sz="0" w:space="0" w:color="auto"/>
            <w:right w:val="none" w:sz="0" w:space="0" w:color="auto"/>
          </w:divBdr>
        </w:div>
        <w:div w:id="935164680">
          <w:marLeft w:val="0"/>
          <w:marRight w:val="0"/>
          <w:marTop w:val="0"/>
          <w:marBottom w:val="0"/>
          <w:divBdr>
            <w:top w:val="none" w:sz="0" w:space="0" w:color="auto"/>
            <w:left w:val="none" w:sz="0" w:space="0" w:color="auto"/>
            <w:bottom w:val="none" w:sz="0" w:space="0" w:color="auto"/>
            <w:right w:val="none" w:sz="0" w:space="0" w:color="auto"/>
          </w:divBdr>
        </w:div>
        <w:div w:id="2111779658">
          <w:marLeft w:val="0"/>
          <w:marRight w:val="0"/>
          <w:marTop w:val="0"/>
          <w:marBottom w:val="0"/>
          <w:divBdr>
            <w:top w:val="none" w:sz="0" w:space="0" w:color="auto"/>
            <w:left w:val="none" w:sz="0" w:space="0" w:color="auto"/>
            <w:bottom w:val="none" w:sz="0" w:space="0" w:color="auto"/>
            <w:right w:val="none" w:sz="0" w:space="0" w:color="auto"/>
          </w:divBdr>
        </w:div>
        <w:div w:id="897671715">
          <w:marLeft w:val="0"/>
          <w:marRight w:val="0"/>
          <w:marTop w:val="0"/>
          <w:marBottom w:val="0"/>
          <w:divBdr>
            <w:top w:val="none" w:sz="0" w:space="0" w:color="auto"/>
            <w:left w:val="none" w:sz="0" w:space="0" w:color="auto"/>
            <w:bottom w:val="none" w:sz="0" w:space="0" w:color="auto"/>
            <w:right w:val="none" w:sz="0" w:space="0" w:color="auto"/>
          </w:divBdr>
        </w:div>
        <w:div w:id="1988625540">
          <w:marLeft w:val="0"/>
          <w:marRight w:val="0"/>
          <w:marTop w:val="0"/>
          <w:marBottom w:val="0"/>
          <w:divBdr>
            <w:top w:val="none" w:sz="0" w:space="0" w:color="auto"/>
            <w:left w:val="none" w:sz="0" w:space="0" w:color="auto"/>
            <w:bottom w:val="none" w:sz="0" w:space="0" w:color="auto"/>
            <w:right w:val="none" w:sz="0" w:space="0" w:color="auto"/>
          </w:divBdr>
        </w:div>
        <w:div w:id="1276864207">
          <w:marLeft w:val="0"/>
          <w:marRight w:val="0"/>
          <w:marTop w:val="0"/>
          <w:marBottom w:val="0"/>
          <w:divBdr>
            <w:top w:val="none" w:sz="0" w:space="0" w:color="auto"/>
            <w:left w:val="none" w:sz="0" w:space="0" w:color="auto"/>
            <w:bottom w:val="none" w:sz="0" w:space="0" w:color="auto"/>
            <w:right w:val="none" w:sz="0" w:space="0" w:color="auto"/>
          </w:divBdr>
        </w:div>
        <w:div w:id="790326834">
          <w:marLeft w:val="0"/>
          <w:marRight w:val="0"/>
          <w:marTop w:val="0"/>
          <w:marBottom w:val="0"/>
          <w:divBdr>
            <w:top w:val="none" w:sz="0" w:space="0" w:color="auto"/>
            <w:left w:val="none" w:sz="0" w:space="0" w:color="auto"/>
            <w:bottom w:val="none" w:sz="0" w:space="0" w:color="auto"/>
            <w:right w:val="none" w:sz="0" w:space="0" w:color="auto"/>
          </w:divBdr>
        </w:div>
        <w:div w:id="586811198">
          <w:marLeft w:val="0"/>
          <w:marRight w:val="0"/>
          <w:marTop w:val="0"/>
          <w:marBottom w:val="0"/>
          <w:divBdr>
            <w:top w:val="none" w:sz="0" w:space="0" w:color="auto"/>
            <w:left w:val="none" w:sz="0" w:space="0" w:color="auto"/>
            <w:bottom w:val="none" w:sz="0" w:space="0" w:color="auto"/>
            <w:right w:val="none" w:sz="0" w:space="0" w:color="auto"/>
          </w:divBdr>
        </w:div>
        <w:div w:id="1612853816">
          <w:marLeft w:val="0"/>
          <w:marRight w:val="0"/>
          <w:marTop w:val="0"/>
          <w:marBottom w:val="0"/>
          <w:divBdr>
            <w:top w:val="none" w:sz="0" w:space="0" w:color="auto"/>
            <w:left w:val="none" w:sz="0" w:space="0" w:color="auto"/>
            <w:bottom w:val="none" w:sz="0" w:space="0" w:color="auto"/>
            <w:right w:val="none" w:sz="0" w:space="0" w:color="auto"/>
          </w:divBdr>
        </w:div>
        <w:div w:id="736778584">
          <w:marLeft w:val="0"/>
          <w:marRight w:val="0"/>
          <w:marTop w:val="0"/>
          <w:marBottom w:val="0"/>
          <w:divBdr>
            <w:top w:val="none" w:sz="0" w:space="0" w:color="auto"/>
            <w:left w:val="none" w:sz="0" w:space="0" w:color="auto"/>
            <w:bottom w:val="none" w:sz="0" w:space="0" w:color="auto"/>
            <w:right w:val="none" w:sz="0" w:space="0" w:color="auto"/>
          </w:divBdr>
        </w:div>
        <w:div w:id="909266985">
          <w:marLeft w:val="0"/>
          <w:marRight w:val="0"/>
          <w:marTop w:val="0"/>
          <w:marBottom w:val="0"/>
          <w:divBdr>
            <w:top w:val="none" w:sz="0" w:space="0" w:color="auto"/>
            <w:left w:val="none" w:sz="0" w:space="0" w:color="auto"/>
            <w:bottom w:val="none" w:sz="0" w:space="0" w:color="auto"/>
            <w:right w:val="none" w:sz="0" w:space="0" w:color="auto"/>
          </w:divBdr>
        </w:div>
        <w:div w:id="1109661688">
          <w:marLeft w:val="0"/>
          <w:marRight w:val="0"/>
          <w:marTop w:val="0"/>
          <w:marBottom w:val="0"/>
          <w:divBdr>
            <w:top w:val="none" w:sz="0" w:space="0" w:color="auto"/>
            <w:left w:val="none" w:sz="0" w:space="0" w:color="auto"/>
            <w:bottom w:val="none" w:sz="0" w:space="0" w:color="auto"/>
            <w:right w:val="none" w:sz="0" w:space="0" w:color="auto"/>
          </w:divBdr>
        </w:div>
        <w:div w:id="97065780">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327636679">
          <w:marLeft w:val="0"/>
          <w:marRight w:val="0"/>
          <w:marTop w:val="0"/>
          <w:marBottom w:val="0"/>
          <w:divBdr>
            <w:top w:val="none" w:sz="0" w:space="0" w:color="auto"/>
            <w:left w:val="none" w:sz="0" w:space="0" w:color="auto"/>
            <w:bottom w:val="none" w:sz="0" w:space="0" w:color="auto"/>
            <w:right w:val="none" w:sz="0" w:space="0" w:color="auto"/>
          </w:divBdr>
        </w:div>
        <w:div w:id="670526008">
          <w:marLeft w:val="0"/>
          <w:marRight w:val="0"/>
          <w:marTop w:val="0"/>
          <w:marBottom w:val="0"/>
          <w:divBdr>
            <w:top w:val="none" w:sz="0" w:space="0" w:color="auto"/>
            <w:left w:val="none" w:sz="0" w:space="0" w:color="auto"/>
            <w:bottom w:val="none" w:sz="0" w:space="0" w:color="auto"/>
            <w:right w:val="none" w:sz="0" w:space="0" w:color="auto"/>
          </w:divBdr>
        </w:div>
        <w:div w:id="193543748">
          <w:marLeft w:val="0"/>
          <w:marRight w:val="0"/>
          <w:marTop w:val="0"/>
          <w:marBottom w:val="0"/>
          <w:divBdr>
            <w:top w:val="none" w:sz="0" w:space="0" w:color="auto"/>
            <w:left w:val="none" w:sz="0" w:space="0" w:color="auto"/>
            <w:bottom w:val="none" w:sz="0" w:space="0" w:color="auto"/>
            <w:right w:val="none" w:sz="0" w:space="0" w:color="auto"/>
          </w:divBdr>
        </w:div>
        <w:div w:id="1065447205">
          <w:marLeft w:val="0"/>
          <w:marRight w:val="0"/>
          <w:marTop w:val="0"/>
          <w:marBottom w:val="0"/>
          <w:divBdr>
            <w:top w:val="none" w:sz="0" w:space="0" w:color="auto"/>
            <w:left w:val="none" w:sz="0" w:space="0" w:color="auto"/>
            <w:bottom w:val="none" w:sz="0" w:space="0" w:color="auto"/>
            <w:right w:val="none" w:sz="0" w:space="0" w:color="auto"/>
          </w:divBdr>
        </w:div>
        <w:div w:id="417101918">
          <w:marLeft w:val="0"/>
          <w:marRight w:val="0"/>
          <w:marTop w:val="0"/>
          <w:marBottom w:val="0"/>
          <w:divBdr>
            <w:top w:val="none" w:sz="0" w:space="0" w:color="auto"/>
            <w:left w:val="none" w:sz="0" w:space="0" w:color="auto"/>
            <w:bottom w:val="none" w:sz="0" w:space="0" w:color="auto"/>
            <w:right w:val="none" w:sz="0" w:space="0" w:color="auto"/>
          </w:divBdr>
        </w:div>
        <w:div w:id="1358772787">
          <w:marLeft w:val="0"/>
          <w:marRight w:val="0"/>
          <w:marTop w:val="0"/>
          <w:marBottom w:val="0"/>
          <w:divBdr>
            <w:top w:val="none" w:sz="0" w:space="0" w:color="auto"/>
            <w:left w:val="none" w:sz="0" w:space="0" w:color="auto"/>
            <w:bottom w:val="none" w:sz="0" w:space="0" w:color="auto"/>
            <w:right w:val="none" w:sz="0" w:space="0" w:color="auto"/>
          </w:divBdr>
        </w:div>
        <w:div w:id="1644308125">
          <w:marLeft w:val="0"/>
          <w:marRight w:val="0"/>
          <w:marTop w:val="0"/>
          <w:marBottom w:val="0"/>
          <w:divBdr>
            <w:top w:val="none" w:sz="0" w:space="0" w:color="auto"/>
            <w:left w:val="none" w:sz="0" w:space="0" w:color="auto"/>
            <w:bottom w:val="none" w:sz="0" w:space="0" w:color="auto"/>
            <w:right w:val="none" w:sz="0" w:space="0" w:color="auto"/>
          </w:divBdr>
        </w:div>
        <w:div w:id="1908952281">
          <w:marLeft w:val="0"/>
          <w:marRight w:val="0"/>
          <w:marTop w:val="0"/>
          <w:marBottom w:val="0"/>
          <w:divBdr>
            <w:top w:val="none" w:sz="0" w:space="0" w:color="auto"/>
            <w:left w:val="none" w:sz="0" w:space="0" w:color="auto"/>
            <w:bottom w:val="none" w:sz="0" w:space="0" w:color="auto"/>
            <w:right w:val="none" w:sz="0" w:space="0" w:color="auto"/>
          </w:divBdr>
        </w:div>
        <w:div w:id="953168372">
          <w:marLeft w:val="0"/>
          <w:marRight w:val="0"/>
          <w:marTop w:val="0"/>
          <w:marBottom w:val="0"/>
          <w:divBdr>
            <w:top w:val="none" w:sz="0" w:space="0" w:color="auto"/>
            <w:left w:val="none" w:sz="0" w:space="0" w:color="auto"/>
            <w:bottom w:val="none" w:sz="0" w:space="0" w:color="auto"/>
            <w:right w:val="none" w:sz="0" w:space="0" w:color="auto"/>
          </w:divBdr>
        </w:div>
        <w:div w:id="118762629">
          <w:marLeft w:val="0"/>
          <w:marRight w:val="0"/>
          <w:marTop w:val="0"/>
          <w:marBottom w:val="0"/>
          <w:divBdr>
            <w:top w:val="none" w:sz="0" w:space="0" w:color="auto"/>
            <w:left w:val="none" w:sz="0" w:space="0" w:color="auto"/>
            <w:bottom w:val="none" w:sz="0" w:space="0" w:color="auto"/>
            <w:right w:val="none" w:sz="0" w:space="0" w:color="auto"/>
          </w:divBdr>
        </w:div>
        <w:div w:id="217479003">
          <w:marLeft w:val="0"/>
          <w:marRight w:val="0"/>
          <w:marTop w:val="0"/>
          <w:marBottom w:val="0"/>
          <w:divBdr>
            <w:top w:val="none" w:sz="0" w:space="0" w:color="auto"/>
            <w:left w:val="none" w:sz="0" w:space="0" w:color="auto"/>
            <w:bottom w:val="none" w:sz="0" w:space="0" w:color="auto"/>
            <w:right w:val="none" w:sz="0" w:space="0" w:color="auto"/>
          </w:divBdr>
        </w:div>
        <w:div w:id="17044628">
          <w:marLeft w:val="0"/>
          <w:marRight w:val="0"/>
          <w:marTop w:val="0"/>
          <w:marBottom w:val="0"/>
          <w:divBdr>
            <w:top w:val="none" w:sz="0" w:space="0" w:color="auto"/>
            <w:left w:val="none" w:sz="0" w:space="0" w:color="auto"/>
            <w:bottom w:val="none" w:sz="0" w:space="0" w:color="auto"/>
            <w:right w:val="none" w:sz="0" w:space="0" w:color="auto"/>
          </w:divBdr>
        </w:div>
        <w:div w:id="1918663758">
          <w:marLeft w:val="0"/>
          <w:marRight w:val="0"/>
          <w:marTop w:val="0"/>
          <w:marBottom w:val="0"/>
          <w:divBdr>
            <w:top w:val="none" w:sz="0" w:space="0" w:color="auto"/>
            <w:left w:val="none" w:sz="0" w:space="0" w:color="auto"/>
            <w:bottom w:val="none" w:sz="0" w:space="0" w:color="auto"/>
            <w:right w:val="none" w:sz="0" w:space="0" w:color="auto"/>
          </w:divBdr>
        </w:div>
        <w:div w:id="1554269261">
          <w:marLeft w:val="0"/>
          <w:marRight w:val="0"/>
          <w:marTop w:val="0"/>
          <w:marBottom w:val="0"/>
          <w:divBdr>
            <w:top w:val="none" w:sz="0" w:space="0" w:color="auto"/>
            <w:left w:val="none" w:sz="0" w:space="0" w:color="auto"/>
            <w:bottom w:val="none" w:sz="0" w:space="0" w:color="auto"/>
            <w:right w:val="none" w:sz="0" w:space="0" w:color="auto"/>
          </w:divBdr>
        </w:div>
        <w:div w:id="1348482945">
          <w:marLeft w:val="0"/>
          <w:marRight w:val="0"/>
          <w:marTop w:val="0"/>
          <w:marBottom w:val="0"/>
          <w:divBdr>
            <w:top w:val="none" w:sz="0" w:space="0" w:color="auto"/>
            <w:left w:val="none" w:sz="0" w:space="0" w:color="auto"/>
            <w:bottom w:val="none" w:sz="0" w:space="0" w:color="auto"/>
            <w:right w:val="none" w:sz="0" w:space="0" w:color="auto"/>
          </w:divBdr>
        </w:div>
        <w:div w:id="1614051775">
          <w:marLeft w:val="0"/>
          <w:marRight w:val="0"/>
          <w:marTop w:val="0"/>
          <w:marBottom w:val="0"/>
          <w:divBdr>
            <w:top w:val="none" w:sz="0" w:space="0" w:color="auto"/>
            <w:left w:val="none" w:sz="0" w:space="0" w:color="auto"/>
            <w:bottom w:val="none" w:sz="0" w:space="0" w:color="auto"/>
            <w:right w:val="none" w:sz="0" w:space="0" w:color="auto"/>
          </w:divBdr>
        </w:div>
        <w:div w:id="1012226297">
          <w:marLeft w:val="0"/>
          <w:marRight w:val="0"/>
          <w:marTop w:val="0"/>
          <w:marBottom w:val="0"/>
          <w:divBdr>
            <w:top w:val="none" w:sz="0" w:space="0" w:color="auto"/>
            <w:left w:val="none" w:sz="0" w:space="0" w:color="auto"/>
            <w:bottom w:val="none" w:sz="0" w:space="0" w:color="auto"/>
            <w:right w:val="none" w:sz="0" w:space="0" w:color="auto"/>
          </w:divBdr>
        </w:div>
        <w:div w:id="1567379587">
          <w:marLeft w:val="0"/>
          <w:marRight w:val="0"/>
          <w:marTop w:val="0"/>
          <w:marBottom w:val="0"/>
          <w:divBdr>
            <w:top w:val="none" w:sz="0" w:space="0" w:color="auto"/>
            <w:left w:val="none" w:sz="0" w:space="0" w:color="auto"/>
            <w:bottom w:val="none" w:sz="0" w:space="0" w:color="auto"/>
            <w:right w:val="none" w:sz="0" w:space="0" w:color="auto"/>
          </w:divBdr>
        </w:div>
        <w:div w:id="1661539762">
          <w:marLeft w:val="0"/>
          <w:marRight w:val="0"/>
          <w:marTop w:val="0"/>
          <w:marBottom w:val="0"/>
          <w:divBdr>
            <w:top w:val="none" w:sz="0" w:space="0" w:color="auto"/>
            <w:left w:val="none" w:sz="0" w:space="0" w:color="auto"/>
            <w:bottom w:val="none" w:sz="0" w:space="0" w:color="auto"/>
            <w:right w:val="none" w:sz="0" w:space="0" w:color="auto"/>
          </w:divBdr>
        </w:div>
        <w:div w:id="1724718839">
          <w:marLeft w:val="0"/>
          <w:marRight w:val="0"/>
          <w:marTop w:val="0"/>
          <w:marBottom w:val="0"/>
          <w:divBdr>
            <w:top w:val="none" w:sz="0" w:space="0" w:color="auto"/>
            <w:left w:val="none" w:sz="0" w:space="0" w:color="auto"/>
            <w:bottom w:val="none" w:sz="0" w:space="0" w:color="auto"/>
            <w:right w:val="none" w:sz="0" w:space="0" w:color="auto"/>
          </w:divBdr>
        </w:div>
        <w:div w:id="2041853629">
          <w:marLeft w:val="0"/>
          <w:marRight w:val="0"/>
          <w:marTop w:val="0"/>
          <w:marBottom w:val="0"/>
          <w:divBdr>
            <w:top w:val="none" w:sz="0" w:space="0" w:color="auto"/>
            <w:left w:val="none" w:sz="0" w:space="0" w:color="auto"/>
            <w:bottom w:val="none" w:sz="0" w:space="0" w:color="auto"/>
            <w:right w:val="none" w:sz="0" w:space="0" w:color="auto"/>
          </w:divBdr>
        </w:div>
        <w:div w:id="436289539">
          <w:marLeft w:val="0"/>
          <w:marRight w:val="0"/>
          <w:marTop w:val="0"/>
          <w:marBottom w:val="0"/>
          <w:divBdr>
            <w:top w:val="none" w:sz="0" w:space="0" w:color="auto"/>
            <w:left w:val="none" w:sz="0" w:space="0" w:color="auto"/>
            <w:bottom w:val="none" w:sz="0" w:space="0" w:color="auto"/>
            <w:right w:val="none" w:sz="0" w:space="0" w:color="auto"/>
          </w:divBdr>
        </w:div>
        <w:div w:id="1394083850">
          <w:marLeft w:val="0"/>
          <w:marRight w:val="0"/>
          <w:marTop w:val="0"/>
          <w:marBottom w:val="0"/>
          <w:divBdr>
            <w:top w:val="none" w:sz="0" w:space="0" w:color="auto"/>
            <w:left w:val="none" w:sz="0" w:space="0" w:color="auto"/>
            <w:bottom w:val="none" w:sz="0" w:space="0" w:color="auto"/>
            <w:right w:val="none" w:sz="0" w:space="0" w:color="auto"/>
          </w:divBdr>
        </w:div>
        <w:div w:id="1718892839">
          <w:marLeft w:val="0"/>
          <w:marRight w:val="0"/>
          <w:marTop w:val="0"/>
          <w:marBottom w:val="0"/>
          <w:divBdr>
            <w:top w:val="none" w:sz="0" w:space="0" w:color="auto"/>
            <w:left w:val="none" w:sz="0" w:space="0" w:color="auto"/>
            <w:bottom w:val="none" w:sz="0" w:space="0" w:color="auto"/>
            <w:right w:val="none" w:sz="0" w:space="0" w:color="auto"/>
          </w:divBdr>
        </w:div>
        <w:div w:id="876310246">
          <w:marLeft w:val="0"/>
          <w:marRight w:val="0"/>
          <w:marTop w:val="0"/>
          <w:marBottom w:val="0"/>
          <w:divBdr>
            <w:top w:val="none" w:sz="0" w:space="0" w:color="auto"/>
            <w:left w:val="none" w:sz="0" w:space="0" w:color="auto"/>
            <w:bottom w:val="none" w:sz="0" w:space="0" w:color="auto"/>
            <w:right w:val="none" w:sz="0" w:space="0" w:color="auto"/>
          </w:divBdr>
        </w:div>
        <w:div w:id="677736303">
          <w:marLeft w:val="0"/>
          <w:marRight w:val="0"/>
          <w:marTop w:val="0"/>
          <w:marBottom w:val="0"/>
          <w:divBdr>
            <w:top w:val="none" w:sz="0" w:space="0" w:color="auto"/>
            <w:left w:val="none" w:sz="0" w:space="0" w:color="auto"/>
            <w:bottom w:val="none" w:sz="0" w:space="0" w:color="auto"/>
            <w:right w:val="none" w:sz="0" w:space="0" w:color="auto"/>
          </w:divBdr>
        </w:div>
        <w:div w:id="331033354">
          <w:marLeft w:val="0"/>
          <w:marRight w:val="0"/>
          <w:marTop w:val="0"/>
          <w:marBottom w:val="0"/>
          <w:divBdr>
            <w:top w:val="none" w:sz="0" w:space="0" w:color="auto"/>
            <w:left w:val="none" w:sz="0" w:space="0" w:color="auto"/>
            <w:bottom w:val="none" w:sz="0" w:space="0" w:color="auto"/>
            <w:right w:val="none" w:sz="0" w:space="0" w:color="auto"/>
          </w:divBdr>
        </w:div>
        <w:div w:id="987902112">
          <w:marLeft w:val="0"/>
          <w:marRight w:val="0"/>
          <w:marTop w:val="0"/>
          <w:marBottom w:val="0"/>
          <w:divBdr>
            <w:top w:val="none" w:sz="0" w:space="0" w:color="auto"/>
            <w:left w:val="none" w:sz="0" w:space="0" w:color="auto"/>
            <w:bottom w:val="none" w:sz="0" w:space="0" w:color="auto"/>
            <w:right w:val="none" w:sz="0" w:space="0" w:color="auto"/>
          </w:divBdr>
        </w:div>
        <w:div w:id="197157736">
          <w:marLeft w:val="0"/>
          <w:marRight w:val="0"/>
          <w:marTop w:val="0"/>
          <w:marBottom w:val="0"/>
          <w:divBdr>
            <w:top w:val="none" w:sz="0" w:space="0" w:color="auto"/>
            <w:left w:val="none" w:sz="0" w:space="0" w:color="auto"/>
            <w:bottom w:val="none" w:sz="0" w:space="0" w:color="auto"/>
            <w:right w:val="none" w:sz="0" w:space="0" w:color="auto"/>
          </w:divBdr>
        </w:div>
        <w:div w:id="974289507">
          <w:marLeft w:val="0"/>
          <w:marRight w:val="0"/>
          <w:marTop w:val="0"/>
          <w:marBottom w:val="0"/>
          <w:divBdr>
            <w:top w:val="none" w:sz="0" w:space="0" w:color="auto"/>
            <w:left w:val="none" w:sz="0" w:space="0" w:color="auto"/>
            <w:bottom w:val="none" w:sz="0" w:space="0" w:color="auto"/>
            <w:right w:val="none" w:sz="0" w:space="0" w:color="auto"/>
          </w:divBdr>
        </w:div>
        <w:div w:id="1356038126">
          <w:marLeft w:val="0"/>
          <w:marRight w:val="0"/>
          <w:marTop w:val="0"/>
          <w:marBottom w:val="0"/>
          <w:divBdr>
            <w:top w:val="none" w:sz="0" w:space="0" w:color="auto"/>
            <w:left w:val="none" w:sz="0" w:space="0" w:color="auto"/>
            <w:bottom w:val="none" w:sz="0" w:space="0" w:color="auto"/>
            <w:right w:val="none" w:sz="0" w:space="0" w:color="auto"/>
          </w:divBdr>
        </w:div>
        <w:div w:id="1852914860">
          <w:marLeft w:val="0"/>
          <w:marRight w:val="0"/>
          <w:marTop w:val="0"/>
          <w:marBottom w:val="0"/>
          <w:divBdr>
            <w:top w:val="none" w:sz="0" w:space="0" w:color="auto"/>
            <w:left w:val="none" w:sz="0" w:space="0" w:color="auto"/>
            <w:bottom w:val="none" w:sz="0" w:space="0" w:color="auto"/>
            <w:right w:val="none" w:sz="0" w:space="0" w:color="auto"/>
          </w:divBdr>
        </w:div>
        <w:div w:id="733351928">
          <w:marLeft w:val="0"/>
          <w:marRight w:val="0"/>
          <w:marTop w:val="0"/>
          <w:marBottom w:val="0"/>
          <w:divBdr>
            <w:top w:val="none" w:sz="0" w:space="0" w:color="auto"/>
            <w:left w:val="none" w:sz="0" w:space="0" w:color="auto"/>
            <w:bottom w:val="none" w:sz="0" w:space="0" w:color="auto"/>
            <w:right w:val="none" w:sz="0" w:space="0" w:color="auto"/>
          </w:divBdr>
        </w:div>
        <w:div w:id="582689605">
          <w:marLeft w:val="0"/>
          <w:marRight w:val="0"/>
          <w:marTop w:val="0"/>
          <w:marBottom w:val="0"/>
          <w:divBdr>
            <w:top w:val="none" w:sz="0" w:space="0" w:color="auto"/>
            <w:left w:val="none" w:sz="0" w:space="0" w:color="auto"/>
            <w:bottom w:val="none" w:sz="0" w:space="0" w:color="auto"/>
            <w:right w:val="none" w:sz="0" w:space="0" w:color="auto"/>
          </w:divBdr>
        </w:div>
        <w:div w:id="662002907">
          <w:marLeft w:val="0"/>
          <w:marRight w:val="0"/>
          <w:marTop w:val="0"/>
          <w:marBottom w:val="0"/>
          <w:divBdr>
            <w:top w:val="none" w:sz="0" w:space="0" w:color="auto"/>
            <w:left w:val="none" w:sz="0" w:space="0" w:color="auto"/>
            <w:bottom w:val="none" w:sz="0" w:space="0" w:color="auto"/>
            <w:right w:val="none" w:sz="0" w:space="0" w:color="auto"/>
          </w:divBdr>
        </w:div>
        <w:div w:id="1819570640">
          <w:marLeft w:val="0"/>
          <w:marRight w:val="0"/>
          <w:marTop w:val="0"/>
          <w:marBottom w:val="0"/>
          <w:divBdr>
            <w:top w:val="none" w:sz="0" w:space="0" w:color="auto"/>
            <w:left w:val="none" w:sz="0" w:space="0" w:color="auto"/>
            <w:bottom w:val="none" w:sz="0" w:space="0" w:color="auto"/>
            <w:right w:val="none" w:sz="0" w:space="0" w:color="auto"/>
          </w:divBdr>
        </w:div>
        <w:div w:id="1891304898">
          <w:marLeft w:val="0"/>
          <w:marRight w:val="0"/>
          <w:marTop w:val="0"/>
          <w:marBottom w:val="0"/>
          <w:divBdr>
            <w:top w:val="none" w:sz="0" w:space="0" w:color="auto"/>
            <w:left w:val="none" w:sz="0" w:space="0" w:color="auto"/>
            <w:bottom w:val="none" w:sz="0" w:space="0" w:color="auto"/>
            <w:right w:val="none" w:sz="0" w:space="0" w:color="auto"/>
          </w:divBdr>
        </w:div>
        <w:div w:id="1588491478">
          <w:marLeft w:val="0"/>
          <w:marRight w:val="0"/>
          <w:marTop w:val="0"/>
          <w:marBottom w:val="0"/>
          <w:divBdr>
            <w:top w:val="none" w:sz="0" w:space="0" w:color="auto"/>
            <w:left w:val="none" w:sz="0" w:space="0" w:color="auto"/>
            <w:bottom w:val="none" w:sz="0" w:space="0" w:color="auto"/>
            <w:right w:val="none" w:sz="0" w:space="0" w:color="auto"/>
          </w:divBdr>
        </w:div>
        <w:div w:id="1797602857">
          <w:marLeft w:val="0"/>
          <w:marRight w:val="0"/>
          <w:marTop w:val="0"/>
          <w:marBottom w:val="0"/>
          <w:divBdr>
            <w:top w:val="none" w:sz="0" w:space="0" w:color="auto"/>
            <w:left w:val="none" w:sz="0" w:space="0" w:color="auto"/>
            <w:bottom w:val="none" w:sz="0" w:space="0" w:color="auto"/>
            <w:right w:val="none" w:sz="0" w:space="0" w:color="auto"/>
          </w:divBdr>
        </w:div>
        <w:div w:id="1012102450">
          <w:marLeft w:val="0"/>
          <w:marRight w:val="0"/>
          <w:marTop w:val="0"/>
          <w:marBottom w:val="0"/>
          <w:divBdr>
            <w:top w:val="none" w:sz="0" w:space="0" w:color="auto"/>
            <w:left w:val="none" w:sz="0" w:space="0" w:color="auto"/>
            <w:bottom w:val="none" w:sz="0" w:space="0" w:color="auto"/>
            <w:right w:val="none" w:sz="0" w:space="0" w:color="auto"/>
          </w:divBdr>
        </w:div>
        <w:div w:id="851576125">
          <w:marLeft w:val="0"/>
          <w:marRight w:val="0"/>
          <w:marTop w:val="0"/>
          <w:marBottom w:val="0"/>
          <w:divBdr>
            <w:top w:val="none" w:sz="0" w:space="0" w:color="auto"/>
            <w:left w:val="none" w:sz="0" w:space="0" w:color="auto"/>
            <w:bottom w:val="none" w:sz="0" w:space="0" w:color="auto"/>
            <w:right w:val="none" w:sz="0" w:space="0" w:color="auto"/>
          </w:divBdr>
        </w:div>
        <w:div w:id="1858302217">
          <w:marLeft w:val="0"/>
          <w:marRight w:val="0"/>
          <w:marTop w:val="0"/>
          <w:marBottom w:val="0"/>
          <w:divBdr>
            <w:top w:val="none" w:sz="0" w:space="0" w:color="auto"/>
            <w:left w:val="none" w:sz="0" w:space="0" w:color="auto"/>
            <w:bottom w:val="none" w:sz="0" w:space="0" w:color="auto"/>
            <w:right w:val="none" w:sz="0" w:space="0" w:color="auto"/>
          </w:divBdr>
        </w:div>
      </w:divsChild>
    </w:div>
    <w:div w:id="633220656">
      <w:bodyDiv w:val="1"/>
      <w:marLeft w:val="0"/>
      <w:marRight w:val="0"/>
      <w:marTop w:val="0"/>
      <w:marBottom w:val="0"/>
      <w:divBdr>
        <w:top w:val="none" w:sz="0" w:space="0" w:color="auto"/>
        <w:left w:val="none" w:sz="0" w:space="0" w:color="auto"/>
        <w:bottom w:val="none" w:sz="0" w:space="0" w:color="auto"/>
        <w:right w:val="none" w:sz="0" w:space="0" w:color="auto"/>
      </w:divBdr>
    </w:div>
    <w:div w:id="779036157">
      <w:bodyDiv w:val="1"/>
      <w:marLeft w:val="0"/>
      <w:marRight w:val="0"/>
      <w:marTop w:val="0"/>
      <w:marBottom w:val="0"/>
      <w:divBdr>
        <w:top w:val="none" w:sz="0" w:space="0" w:color="auto"/>
        <w:left w:val="none" w:sz="0" w:space="0" w:color="auto"/>
        <w:bottom w:val="none" w:sz="0" w:space="0" w:color="auto"/>
        <w:right w:val="none" w:sz="0" w:space="0" w:color="auto"/>
      </w:divBdr>
    </w:div>
    <w:div w:id="1203052019">
      <w:bodyDiv w:val="1"/>
      <w:marLeft w:val="0"/>
      <w:marRight w:val="0"/>
      <w:marTop w:val="0"/>
      <w:marBottom w:val="0"/>
      <w:divBdr>
        <w:top w:val="none" w:sz="0" w:space="0" w:color="auto"/>
        <w:left w:val="none" w:sz="0" w:space="0" w:color="auto"/>
        <w:bottom w:val="none" w:sz="0" w:space="0" w:color="auto"/>
        <w:right w:val="none" w:sz="0" w:space="0" w:color="auto"/>
      </w:divBdr>
    </w:div>
    <w:div w:id="2023236333">
      <w:bodyDiv w:val="1"/>
      <w:marLeft w:val="0"/>
      <w:marRight w:val="0"/>
      <w:marTop w:val="0"/>
      <w:marBottom w:val="0"/>
      <w:divBdr>
        <w:top w:val="none" w:sz="0" w:space="0" w:color="auto"/>
        <w:left w:val="none" w:sz="0" w:space="0" w:color="auto"/>
        <w:bottom w:val="none" w:sz="0" w:space="0" w:color="auto"/>
        <w:right w:val="none" w:sz="0" w:space="0" w:color="auto"/>
      </w:divBdr>
    </w:div>
    <w:div w:id="2042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ra4.nihs.go.jp/mhlw_data/home/file/file793-24-8.html" TargetMode="External"/><Relationship Id="rId18" Type="http://schemas.openxmlformats.org/officeDocument/2006/relationships/hyperlink" Target="https://echa.europa.eu/lt/registration-dossier/-/registered-dossier/15367/7/4/2" TargetMode="External"/><Relationship Id="rId26" Type="http://schemas.openxmlformats.org/officeDocument/2006/relationships/hyperlink" Target="https://hpvchemicals.oecd.org/UI/handler.axd?id=5e1a446c-5969-479c-9270-7ced8726952e" TargetMode="External"/><Relationship Id="rId39" Type="http://schemas.openxmlformats.org/officeDocument/2006/relationships/hyperlink" Target="https://doi.org/10.1021/acs.estlett.2c00821" TargetMode="External"/><Relationship Id="rId21" Type="http://schemas.openxmlformats.org/officeDocument/2006/relationships/hyperlink" Target="https://echa.europa.eu/de/registration-dossier/-/registered-dossier/15367/7/3/2/?documentUUID=537298a9-6fc9-4c00-8a54-767e4fcc2264" TargetMode="External"/><Relationship Id="rId34" Type="http://schemas.openxmlformats.org/officeDocument/2006/relationships/hyperlink" Target="https://doi.org/10.1016/j.jhazmat.2023.133312"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ha.europa.eu/lt/registration-dossier/-/registered-dossier/15367/7/4/2" TargetMode="External"/><Relationship Id="rId20" Type="http://schemas.openxmlformats.org/officeDocument/2006/relationships/hyperlink" Target="https://echa.europa.eu/de/registration-dossier/-/registered-dossier/15367/7/3/2/?documentUUID=5833e0ed-e76b-4a35-bf28-db30929e6922" TargetMode="External"/><Relationship Id="rId29" Type="http://schemas.openxmlformats.org/officeDocument/2006/relationships/hyperlink" Target="https://echa.europa.eu/de/registration-dossier/-/registered-dossier/15367/7/9/2/?documentUUID=5168902c-bf62-4e22-8566-e61867107e2b"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de/registration-dossier/-/registered-dossier/15367/5/2/3/?documentUUID=9c8f6ea7-5fb9-45bf-a412-e720495ad4b1" TargetMode="External"/><Relationship Id="rId24" Type="http://schemas.openxmlformats.org/officeDocument/2006/relationships/hyperlink" Target="https://hpvchemicals.oecd.org/UI/handler.axd?id=5e1a446c-5969-479c-9270-7ced8726952e" TargetMode="External"/><Relationship Id="rId32" Type="http://schemas.openxmlformats.org/officeDocument/2006/relationships/hyperlink" Target="https://echa.europa.eu/de/registration-dossier/-/registered-dossier/15367/7/9/3/?documentUUID=3d19bfc6-45ed-4dd5-80f8-2e102d5ba35c" TargetMode="External"/><Relationship Id="rId37" Type="http://schemas.openxmlformats.org/officeDocument/2006/relationships/hyperlink" Target="https://pubs.acs.org/doi/10.1021/acs.est.3c05026"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ha.europa.eu/de/registration-dossier/-/registered-dossier/15367/7/3/2/?documentUUID=5833e0ed-e76b-4a35-bf28-db30929e6922" TargetMode="External"/><Relationship Id="rId23" Type="http://schemas.openxmlformats.org/officeDocument/2006/relationships/hyperlink" Target="https://doi.org/10.1111/j.1600-0536.2008.01500.x" TargetMode="External"/><Relationship Id="rId28" Type="http://schemas.openxmlformats.org/officeDocument/2006/relationships/hyperlink" Target="https://echa.europa.eu/de/registration-dossier/-/registered-dossier/15367/7/9/2/?documentUUID=a464ebdc-7b1f-4807-b325-2e928e0cccee" TargetMode="External"/><Relationship Id="rId36" Type="http://schemas.openxmlformats.org/officeDocument/2006/relationships/hyperlink" Target="https://doi.org/10.1016/j.scitotenv.2023.169291" TargetMode="External"/><Relationship Id="rId10" Type="http://schemas.openxmlformats.org/officeDocument/2006/relationships/endnotes" Target="endnotes.xml"/><Relationship Id="rId19" Type="http://schemas.openxmlformats.org/officeDocument/2006/relationships/hyperlink" Target="https://echa.europa.eu/de/registration-dossier/-/registered-dossier/15367/7/3/2/?documentUUID=537298a9-6fc9-4c00-8a54-767e4fcc2264" TargetMode="External"/><Relationship Id="rId31" Type="http://schemas.openxmlformats.org/officeDocument/2006/relationships/hyperlink" Target="https://echa.europa.eu/de/registration-dossier/-/registered-dossier/15367/7/9/3/?documentUUID=3df6506f-77e3-4643-8e4b-6d0dc8abd4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ha.europa.eu/de/registration-dossier/-/registered-dossier/15367/7/3/2/?documentUUID=27b98814-a198-4e90-86f0-265b20d7cb09" TargetMode="External"/><Relationship Id="rId22" Type="http://schemas.openxmlformats.org/officeDocument/2006/relationships/hyperlink" Target="https://doi.org/10.1111/j.1600-0536.2008.01500.x" TargetMode="External"/><Relationship Id="rId27" Type="http://schemas.openxmlformats.org/officeDocument/2006/relationships/hyperlink" Target="https://echa.europa.eu/da/registration-dossier/-/registered-dossier/15367/7/7/2" TargetMode="External"/><Relationship Id="rId30" Type="http://schemas.openxmlformats.org/officeDocument/2006/relationships/hyperlink" Target="https://echa.europa.eu/de/registration-dossier/-/registered-dossier/15367/7/9/3" TargetMode="External"/><Relationship Id="rId35" Type="http://schemas.openxmlformats.org/officeDocument/2006/relationships/hyperlink" Target="https://doi.org/10.1016/j.jhazmat.2023.131495"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016/j.scitotenv.2024.170045" TargetMode="External"/><Relationship Id="rId17" Type="http://schemas.openxmlformats.org/officeDocument/2006/relationships/hyperlink" Target="https://echa.europa.eu/de/registration-dossier/-/registered-dossier/15367/7/3/2/?documentUUID=5833e0ed-e76b-4a35-bf28-db30929e6922" TargetMode="External"/><Relationship Id="rId25" Type="http://schemas.openxmlformats.org/officeDocument/2006/relationships/hyperlink" Target="https://echa.europa.eu/de/registration-dossier/-/registered-dossier/15367/7/9/2/?documentUUID=a464ebdc-7b1f-4807-b325-2e928e0cccee" TargetMode="External"/><Relationship Id="rId33" Type="http://schemas.openxmlformats.org/officeDocument/2006/relationships/hyperlink" Target="https://doi.org/10.1016/j.scitotenv.2023.164842" TargetMode="External"/><Relationship Id="rId38" Type="http://schemas.openxmlformats.org/officeDocument/2006/relationships/hyperlink" Target="https://doi.org/10.1016/j.scitotenv.2023.161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7F456-BAF1-4FF8-8ADB-85D36DB27F6F}">
  <ds:schemaRefs>
    <ds:schemaRef ds:uri="http://purl.org/dc/elements/1.1/"/>
    <ds:schemaRef ds:uri="48733e71-d234-4b62-bf8f-0e98c18cd2d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ba537ab-4eab-42d3-bc6e-921ce24a4045"/>
    <ds:schemaRef ds:uri="http://www.w3.org/XML/1998/namespace"/>
  </ds:schemaRefs>
</ds:datastoreItem>
</file>

<file path=customXml/itemProps2.xml><?xml version="1.0" encoding="utf-8"?>
<ds:datastoreItem xmlns:ds="http://schemas.openxmlformats.org/officeDocument/2006/customXml" ds:itemID="{0A1E00D9-700B-48FA-B8BC-1C98EBDAD282}">
  <ds:schemaRefs>
    <ds:schemaRef ds:uri="http://schemas.microsoft.com/sharepoint/v3/contenttype/forms"/>
  </ds:schemaRefs>
</ds:datastoreItem>
</file>

<file path=customXml/itemProps3.xml><?xml version="1.0" encoding="utf-8"?>
<ds:datastoreItem xmlns:ds="http://schemas.openxmlformats.org/officeDocument/2006/customXml" ds:itemID="{68847747-38FF-4CD0-96E5-D2D5353D429C}">
  <ds:schemaRefs>
    <ds:schemaRef ds:uri="http://schemas.openxmlformats.org/officeDocument/2006/bibliography"/>
  </ds:schemaRefs>
</ds:datastoreItem>
</file>

<file path=customXml/itemProps4.xml><?xml version="1.0" encoding="utf-8"?>
<ds:datastoreItem xmlns:ds="http://schemas.openxmlformats.org/officeDocument/2006/customXml" ds:itemID="{DB0A3EFF-997B-4463-B486-D3A1C449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5721</Words>
  <Characters>84810</Characters>
  <Application>Microsoft Office Word</Application>
  <DocSecurity>0</DocSecurity>
  <Lines>706</Lines>
  <Paragraphs>180</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90351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Steve Brauner</cp:lastModifiedBy>
  <cp:revision>14</cp:revision>
  <cp:lastPrinted>2024-08-06T23:22:00Z</cp:lastPrinted>
  <dcterms:created xsi:type="dcterms:W3CDTF">2024-07-31T20:08:00Z</dcterms:created>
  <dcterms:modified xsi:type="dcterms:W3CDTF">2024-08-06T23:22:00Z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ZOTERO_PREF_1">
    <vt:lpwstr>&lt;data data-version="3" zotero-version="6.0.36"&gt;&lt;session id="NszNWA2z"/&gt;&lt;style id="http://www.zotero.org/styles/chicago-author-date" locale="en-US" hasBibliography="1" bibliographyStyleHasBeenSet="1"/&gt;&lt;prefs&gt;&lt;pref name="fieldType" value="Field"/&gt;&lt;/prefs&gt;&lt;/</vt:lpwstr>
  </property>
  <property fmtid="{D5CDD505-2E9C-101B-9397-08002B2CF9AE}" pid="4" name="ZOTERO_PREF_2">
    <vt:lpwstr>data&gt;</vt:lpwstr>
  </property>
  <property fmtid="{D5CDD505-2E9C-101B-9397-08002B2CF9AE}" pid="5" name="MediaServiceImageTags">
    <vt:lpwstr/>
  </property>
</Properties>
</file>