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354"/>
        <w:gridCol w:w="3686"/>
        <w:gridCol w:w="1627"/>
        <w:gridCol w:w="778"/>
        <w:gridCol w:w="1123"/>
        <w:gridCol w:w="1282"/>
        <w:gridCol w:w="1960"/>
        <w:gridCol w:w="42"/>
      </w:tblGrid>
      <w:tr w:rsidR="00DE1DEB" w:rsidRPr="00D25536" w14:paraId="50D9402C" w14:textId="77777777" w:rsidTr="00227F11">
        <w:trPr>
          <w:gridAfter w:val="1"/>
          <w:wAfter w:w="42" w:type="dxa"/>
          <w:cantSplit/>
          <w:tblHeader/>
        </w:trPr>
        <w:tc>
          <w:tcPr>
            <w:tcW w:w="13063" w:type="dxa"/>
            <w:gridSpan w:val="8"/>
            <w:tcBorders>
              <w:top w:val="nil"/>
              <w:left w:val="nil"/>
              <w:right w:val="nil"/>
            </w:tcBorders>
            <w:vAlign w:val="bottom"/>
          </w:tcPr>
          <w:p w14:paraId="60EF2131" w14:textId="4A904843" w:rsidR="00DE1DEB" w:rsidRPr="00D25536" w:rsidRDefault="00DE1DEB" w:rsidP="007830C2">
            <w:pPr>
              <w:pStyle w:val="ITRCTableColumnHeading"/>
              <w:rPr>
                <w:sz w:val="24"/>
                <w:szCs w:val="24"/>
              </w:rPr>
            </w:pPr>
            <w:bookmarkStart w:id="0" w:name="_Hlk168044332"/>
            <w:r w:rsidRPr="00DE1DEB">
              <w:rPr>
                <w:sz w:val="24"/>
                <w:szCs w:val="24"/>
              </w:rPr>
              <w:t>Table 2-2. Summary of chronic aquatic toxicity data for 6PPD and 6PPD q</w:t>
            </w:r>
          </w:p>
        </w:tc>
      </w:tr>
      <w:tr w:rsidR="000D297E" w:rsidRPr="00376EF3" w14:paraId="3F12E065" w14:textId="77777777" w:rsidTr="00227F11">
        <w:trPr>
          <w:cantSplit/>
          <w:tblHeader/>
        </w:trPr>
        <w:tc>
          <w:tcPr>
            <w:tcW w:w="1253" w:type="dxa"/>
            <w:shd w:val="clear" w:color="auto" w:fill="auto"/>
            <w:vAlign w:val="bottom"/>
            <w:hideMark/>
          </w:tcPr>
          <w:p w14:paraId="18DD41DE" w14:textId="77777777" w:rsidR="000D297E" w:rsidRPr="00376EF3" w:rsidRDefault="000D297E" w:rsidP="000D297E">
            <w:pPr>
              <w:pStyle w:val="ITRCTableColumnHeading"/>
            </w:pPr>
            <w:r w:rsidRPr="00376EF3">
              <w:t>Chemical</w:t>
            </w:r>
          </w:p>
        </w:tc>
        <w:tc>
          <w:tcPr>
            <w:tcW w:w="1354" w:type="dxa"/>
            <w:vAlign w:val="bottom"/>
          </w:tcPr>
          <w:p w14:paraId="7B348DEE" w14:textId="77777777" w:rsidR="000D297E" w:rsidRPr="00376EF3" w:rsidRDefault="000D297E" w:rsidP="000D297E">
            <w:pPr>
              <w:pStyle w:val="ITRCTableColumnHeading"/>
            </w:pPr>
            <w:r w:rsidRPr="00376EF3">
              <w:t>Receptor (general)</w:t>
            </w:r>
          </w:p>
        </w:tc>
        <w:tc>
          <w:tcPr>
            <w:tcW w:w="3686" w:type="dxa"/>
            <w:vAlign w:val="bottom"/>
          </w:tcPr>
          <w:p w14:paraId="2A35CAB7" w14:textId="77777777" w:rsidR="000D297E" w:rsidRPr="00376EF3" w:rsidRDefault="000D297E" w:rsidP="000D297E">
            <w:pPr>
              <w:pStyle w:val="ITRCTableColumnHeading"/>
            </w:pPr>
            <w:r w:rsidRPr="00376EF3">
              <w:t>Receptor (specific)</w:t>
            </w:r>
          </w:p>
        </w:tc>
        <w:tc>
          <w:tcPr>
            <w:tcW w:w="1627" w:type="dxa"/>
            <w:shd w:val="clear" w:color="auto" w:fill="auto"/>
            <w:vAlign w:val="bottom"/>
            <w:hideMark/>
          </w:tcPr>
          <w:p w14:paraId="6CAE8DA5" w14:textId="77777777" w:rsidR="000D297E" w:rsidRPr="00376EF3" w:rsidRDefault="000D297E" w:rsidP="000D297E">
            <w:pPr>
              <w:pStyle w:val="ITRCTableColumnHeading"/>
            </w:pPr>
            <w:r w:rsidRPr="00376EF3">
              <w:t xml:space="preserve">Benchmark Value </w:t>
            </w:r>
            <w:r w:rsidRPr="00376EF3">
              <w:br/>
              <w:t>(NOEC, LC</w:t>
            </w:r>
            <w:r w:rsidRPr="000C0F50">
              <w:rPr>
                <w:vertAlign w:val="subscript"/>
              </w:rPr>
              <w:t>10</w:t>
            </w:r>
            <w:r w:rsidRPr="00376EF3">
              <w:t>)</w:t>
            </w:r>
          </w:p>
        </w:tc>
        <w:tc>
          <w:tcPr>
            <w:tcW w:w="778" w:type="dxa"/>
            <w:shd w:val="clear" w:color="auto" w:fill="auto"/>
            <w:vAlign w:val="bottom"/>
            <w:hideMark/>
          </w:tcPr>
          <w:p w14:paraId="7F7CD17F" w14:textId="77777777" w:rsidR="000D297E" w:rsidRPr="00376EF3" w:rsidRDefault="000D297E" w:rsidP="000D297E">
            <w:pPr>
              <w:pStyle w:val="ITRCTableColumnHeading"/>
            </w:pPr>
            <w:r w:rsidRPr="00376EF3">
              <w:t>Units</w:t>
            </w:r>
          </w:p>
        </w:tc>
        <w:tc>
          <w:tcPr>
            <w:tcW w:w="1123" w:type="dxa"/>
            <w:shd w:val="clear" w:color="auto" w:fill="auto"/>
            <w:vAlign w:val="bottom"/>
            <w:hideMark/>
          </w:tcPr>
          <w:p w14:paraId="727DFE54" w14:textId="77777777" w:rsidR="000D297E" w:rsidRPr="00376EF3" w:rsidRDefault="000D297E" w:rsidP="000D297E">
            <w:pPr>
              <w:pStyle w:val="ITRCTableColumnHeading"/>
            </w:pPr>
            <w:r w:rsidRPr="00376EF3">
              <w:t>Duration</w:t>
            </w:r>
          </w:p>
        </w:tc>
        <w:tc>
          <w:tcPr>
            <w:tcW w:w="1282" w:type="dxa"/>
            <w:shd w:val="clear" w:color="auto" w:fill="auto"/>
            <w:vAlign w:val="bottom"/>
            <w:hideMark/>
          </w:tcPr>
          <w:p w14:paraId="6692CCD5" w14:textId="77777777" w:rsidR="000D297E" w:rsidRPr="00376EF3" w:rsidRDefault="000D297E" w:rsidP="000D297E">
            <w:pPr>
              <w:pStyle w:val="ITRCTableColumnHeading"/>
            </w:pPr>
            <w:r w:rsidRPr="00376EF3">
              <w:t>Endpoint</w:t>
            </w:r>
          </w:p>
        </w:tc>
        <w:tc>
          <w:tcPr>
            <w:tcW w:w="2002" w:type="dxa"/>
            <w:gridSpan w:val="2"/>
            <w:vAlign w:val="bottom"/>
          </w:tcPr>
          <w:p w14:paraId="28C8EC02" w14:textId="10541B3D" w:rsidR="000D297E" w:rsidRPr="00376EF3" w:rsidRDefault="000D297E" w:rsidP="000D297E">
            <w:pPr>
              <w:pStyle w:val="ITRCTableColumnHeading"/>
            </w:pPr>
            <w:r w:rsidRPr="00B150AA">
              <w:t>Reference</w:t>
            </w:r>
          </w:p>
        </w:tc>
      </w:tr>
      <w:tr w:rsidR="000D297E" w:rsidRPr="00376EF3" w14:paraId="2036724D" w14:textId="77777777" w:rsidTr="00431ABC">
        <w:trPr>
          <w:cantSplit/>
        </w:trPr>
        <w:tc>
          <w:tcPr>
            <w:tcW w:w="1253" w:type="dxa"/>
            <w:shd w:val="clear" w:color="auto" w:fill="EAF1DD" w:themeFill="accent3" w:themeFillTint="33"/>
            <w:noWrap/>
            <w:vAlign w:val="center"/>
            <w:hideMark/>
          </w:tcPr>
          <w:p w14:paraId="52374A19"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2E227EE5" w14:textId="77777777" w:rsidR="000D297E" w:rsidRPr="00376EF3" w:rsidRDefault="000D297E" w:rsidP="000D297E">
            <w:pPr>
              <w:pStyle w:val="ITRCTableTextCentered"/>
              <w:spacing w:before="120" w:after="120"/>
            </w:pPr>
            <w:r w:rsidRPr="00376EF3">
              <w:t>Fish</w:t>
            </w:r>
          </w:p>
        </w:tc>
        <w:tc>
          <w:tcPr>
            <w:tcW w:w="3686" w:type="dxa"/>
            <w:shd w:val="clear" w:color="auto" w:fill="EAF1DD" w:themeFill="accent3" w:themeFillTint="33"/>
            <w:vAlign w:val="center"/>
          </w:tcPr>
          <w:p w14:paraId="7C6ADA8C" w14:textId="77777777" w:rsidR="000D297E" w:rsidRPr="00376EF3" w:rsidRDefault="000D297E" w:rsidP="000D297E">
            <w:pPr>
              <w:pStyle w:val="ITRCTableTextCentered"/>
              <w:spacing w:before="120" w:after="120"/>
            </w:pPr>
            <w:r w:rsidRPr="00376EF3">
              <w:t xml:space="preserve">Fathead minnow, </w:t>
            </w:r>
            <w:proofErr w:type="spellStart"/>
            <w:r w:rsidRPr="00A04B65">
              <w:rPr>
                <w:i/>
              </w:rPr>
              <w:t>Pimephales</w:t>
            </w:r>
            <w:proofErr w:type="spellEnd"/>
            <w:r w:rsidRPr="00A04B65">
              <w:rPr>
                <w:i/>
              </w:rPr>
              <w:t xml:space="preserve"> </w:t>
            </w:r>
            <w:proofErr w:type="spellStart"/>
            <w:r w:rsidRPr="00A04B65">
              <w:rPr>
                <w:i/>
              </w:rPr>
              <w:t>promelas</w:t>
            </w:r>
            <w:proofErr w:type="spellEnd"/>
          </w:p>
        </w:tc>
        <w:tc>
          <w:tcPr>
            <w:tcW w:w="1627" w:type="dxa"/>
            <w:shd w:val="clear" w:color="auto" w:fill="EAF1DD" w:themeFill="accent3" w:themeFillTint="33"/>
            <w:noWrap/>
            <w:vAlign w:val="center"/>
            <w:hideMark/>
          </w:tcPr>
          <w:p w14:paraId="2A4F3861" w14:textId="77777777" w:rsidR="000D297E" w:rsidRPr="00376EF3" w:rsidRDefault="000D297E" w:rsidP="000D297E">
            <w:pPr>
              <w:pStyle w:val="ITRCTableTextCentered"/>
              <w:spacing w:before="120" w:after="120"/>
            </w:pPr>
            <w:r w:rsidRPr="00376EF3">
              <w:t>86</w:t>
            </w:r>
          </w:p>
        </w:tc>
        <w:tc>
          <w:tcPr>
            <w:tcW w:w="778" w:type="dxa"/>
            <w:shd w:val="clear" w:color="auto" w:fill="EAF1DD" w:themeFill="accent3" w:themeFillTint="33"/>
            <w:noWrap/>
            <w:vAlign w:val="center"/>
            <w:hideMark/>
          </w:tcPr>
          <w:p w14:paraId="3C329D1B" w14:textId="77777777" w:rsidR="000D297E" w:rsidRPr="00376EF3" w:rsidRDefault="000D297E" w:rsidP="000D297E">
            <w:pPr>
              <w:pStyle w:val="ITRCTableTextCentered"/>
              <w:spacing w:before="120" w:after="120"/>
            </w:pPr>
            <w:r w:rsidRPr="00376EF3">
              <w:t xml:space="preserve">µg/g </w:t>
            </w:r>
            <w:proofErr w:type="spellStart"/>
            <w:r w:rsidRPr="00376EF3">
              <w:t>dw</w:t>
            </w:r>
            <w:proofErr w:type="spellEnd"/>
          </w:p>
        </w:tc>
        <w:tc>
          <w:tcPr>
            <w:tcW w:w="1123" w:type="dxa"/>
            <w:shd w:val="clear" w:color="auto" w:fill="EAF1DD" w:themeFill="accent3" w:themeFillTint="33"/>
            <w:noWrap/>
            <w:vAlign w:val="center"/>
            <w:hideMark/>
          </w:tcPr>
          <w:p w14:paraId="7CC1F3AA" w14:textId="77777777" w:rsidR="000D297E" w:rsidRPr="00376EF3" w:rsidRDefault="000D297E" w:rsidP="000D297E">
            <w:pPr>
              <w:pStyle w:val="ITRCTableTextCentered"/>
              <w:spacing w:before="120" w:after="120"/>
            </w:pPr>
            <w:r w:rsidRPr="00376EF3">
              <w:t>21d</w:t>
            </w:r>
          </w:p>
        </w:tc>
        <w:tc>
          <w:tcPr>
            <w:tcW w:w="1282" w:type="dxa"/>
            <w:shd w:val="clear" w:color="auto" w:fill="EAF1DD" w:themeFill="accent3" w:themeFillTint="33"/>
            <w:noWrap/>
            <w:vAlign w:val="center"/>
            <w:hideMark/>
          </w:tcPr>
          <w:p w14:paraId="37ADBF50"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1F9131F6" w14:textId="264E3E5E" w:rsidR="000D297E" w:rsidRPr="00376EF3" w:rsidRDefault="000D297E" w:rsidP="00431ABC">
            <w:pPr>
              <w:pStyle w:val="ITRCTableText"/>
              <w:spacing w:before="120" w:after="120"/>
            </w:pPr>
            <w:r>
              <w:fldChar w:fldCharType="begin"/>
            </w:r>
            <w:r>
              <w:instrText xml:space="preserve"> ADDIN ZOTERO_ITEM CSL_CITATION {"citationID":"qYETMzoI","properties":{"formattedCitation":"(R. S. Prosser et al. 2017)","plainCitation":"(R. S. Prosser et al. 2017)","noteIndex":0},"citationItems":[{"id":10675,"uris":["http://zotero.org/groups/4889498/items/R484ELJZ"],"itemData":{"id":10675,"type":"article-journal","abstract":"Substituted phenylamine antioxidants (SPAs) are produced in relatively high volumes and used in a range of applications (e.g., rubber, polyurethane); however, little is known about their toxicity to aquatic biota. Therefore, current study examined the effects of chronic exposure (28 d) to four sediment-associated SPAs on epibenthic (Hyalella azteca) and endobenthic (Tubifex tubifex) organisms. In addition, acute (96-h), water-only exposures were conducted with H. azteca. Mortality, growth and biomass production were assessed in juvenile H. azteca exposed to diphenylamine (DPA), N-phenyl-1-napthylamine (PNA), N-(1,3-dimethylbutyl)-N’-phenyl-1,4-phenylenediamine (DPPDA), or 4,4’-methylene-bis[N-sec-butylaniline] (MBA). Mortality of adult T. tubifex and reproduction were assessed following exposure to the four SPAs. The 96-h LC50s for juvenile H. azteca were 1443, 109, 250, and &gt;22 μg/L and 28-d LC50s were 22, 99, 135, and &gt;403 μg/g dry weight (dw) for DPA, PNA, DPPDA, and MBA, respectively. Reproductive endpoints for T. tubifex (EC50s for production of juveniles &gt; 500 μm: 15, 9, 4, 3.6 μg/g dw, for DPA, PNA, DPPDA, and MBA, respectively) were an order of magnitude more sensitive than endpoints for juvenile H. azteca and mortality of adult worms. The variation in toxicity across the four SPAs was likely related to the bioavailability of the sediment-associated chemicals, which was determined by the chemical properties of the SPAs (e.g., solubility in water, Koc). The variation in the sensitivity between the two species was likely due to differences in the magnitude of exposure, which is a function of the life histories of the epibenthic amphipod and the endobenthic worm. The data generated from this study will support effect characterization for ecological risk assessment.","container-title":"Chemosphere","DOI":"10.1016/j.chemosphere.2017.04.066","ISSN":"0045-6535","journalAbbreviation":"Chemosphere","language":"en","page":"250-258","source":"ScienceDirect","title":"Variation in the toxicity of sediment-associated substituted phenylamine antioxidants to an epibenthic (Hyalella azteca) and endobenthic (Tubifex tubifex) invertebrate","volume":"181","author":[{"family":"Prosser","given":"R. S."},{"family":"Bartlett","given":"A. J."},{"family":"Milani","given":"D."},{"family":"Holman","given":"E. A. M."},{"family":"Ikert","given":"H."},{"family":"Schissler","given":"D."},{"family":"Toito","given":"J."},{"family":"Parrott","given":"J. L."},{"family":"Gillis","given":"P. L."},{"family":"Balakrishnan","given":"V. K."}],"issued":{"date-parts":[["2017",8,1]]}}}],"schema":"https://github.com/citation-style-language/schema/raw/master/csl-citation.json"} </w:instrText>
            </w:r>
            <w:r>
              <w:fldChar w:fldCharType="separate"/>
            </w:r>
            <w:r w:rsidRPr="001A32AF">
              <w:t>(R. S. Prosser et al. 2017)</w:t>
            </w:r>
            <w:r>
              <w:fldChar w:fldCharType="end"/>
            </w:r>
          </w:p>
        </w:tc>
      </w:tr>
      <w:tr w:rsidR="000D297E" w:rsidRPr="00376EF3" w14:paraId="4C9C48B6" w14:textId="77777777" w:rsidTr="00431ABC">
        <w:trPr>
          <w:cantSplit/>
        </w:trPr>
        <w:tc>
          <w:tcPr>
            <w:tcW w:w="1253" w:type="dxa"/>
            <w:shd w:val="clear" w:color="auto" w:fill="EAF1DD" w:themeFill="accent3" w:themeFillTint="33"/>
            <w:noWrap/>
            <w:vAlign w:val="center"/>
            <w:hideMark/>
          </w:tcPr>
          <w:p w14:paraId="63CBB5D5"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190B9F9F" w14:textId="77777777" w:rsidR="000D297E" w:rsidRPr="00376EF3" w:rsidRDefault="000D297E" w:rsidP="000D297E">
            <w:pPr>
              <w:pStyle w:val="ITRCTableTextCentered"/>
              <w:spacing w:before="120" w:after="120"/>
            </w:pPr>
            <w:r w:rsidRPr="00376EF3">
              <w:t>Fish</w:t>
            </w:r>
          </w:p>
        </w:tc>
        <w:tc>
          <w:tcPr>
            <w:tcW w:w="3686" w:type="dxa"/>
            <w:shd w:val="clear" w:color="auto" w:fill="EAF1DD" w:themeFill="accent3" w:themeFillTint="33"/>
            <w:vAlign w:val="center"/>
          </w:tcPr>
          <w:p w14:paraId="6DF7582C" w14:textId="77777777" w:rsidR="000D297E" w:rsidRPr="00376EF3" w:rsidRDefault="000D297E" w:rsidP="000D297E">
            <w:pPr>
              <w:pStyle w:val="ITRCTableTextCentered"/>
              <w:spacing w:before="120" w:after="120"/>
            </w:pPr>
            <w:r w:rsidRPr="00376EF3">
              <w:t xml:space="preserve">Fathead minnow, </w:t>
            </w:r>
            <w:proofErr w:type="spellStart"/>
            <w:r w:rsidRPr="00A04B65">
              <w:rPr>
                <w:i/>
              </w:rPr>
              <w:t>Pimephales</w:t>
            </w:r>
            <w:proofErr w:type="spellEnd"/>
            <w:r w:rsidRPr="00A04B65">
              <w:rPr>
                <w:i/>
              </w:rPr>
              <w:t xml:space="preserve"> </w:t>
            </w:r>
            <w:proofErr w:type="spellStart"/>
            <w:r w:rsidRPr="00A04B65">
              <w:rPr>
                <w:i/>
              </w:rPr>
              <w:t>promelas</w:t>
            </w:r>
            <w:proofErr w:type="spellEnd"/>
          </w:p>
        </w:tc>
        <w:tc>
          <w:tcPr>
            <w:tcW w:w="1627" w:type="dxa"/>
            <w:shd w:val="clear" w:color="auto" w:fill="EAF1DD" w:themeFill="accent3" w:themeFillTint="33"/>
            <w:noWrap/>
            <w:vAlign w:val="center"/>
            <w:hideMark/>
          </w:tcPr>
          <w:p w14:paraId="44FE7FC7" w14:textId="77777777" w:rsidR="000D297E" w:rsidRPr="00376EF3" w:rsidRDefault="000D297E" w:rsidP="000D297E">
            <w:pPr>
              <w:pStyle w:val="ITRCTableTextCentered"/>
              <w:spacing w:before="120" w:after="120"/>
            </w:pPr>
            <w:r w:rsidRPr="00376EF3">
              <w:t>20</w:t>
            </w:r>
          </w:p>
        </w:tc>
        <w:tc>
          <w:tcPr>
            <w:tcW w:w="778" w:type="dxa"/>
            <w:shd w:val="clear" w:color="auto" w:fill="EAF1DD" w:themeFill="accent3" w:themeFillTint="33"/>
            <w:noWrap/>
            <w:vAlign w:val="center"/>
            <w:hideMark/>
          </w:tcPr>
          <w:p w14:paraId="7278CF6E" w14:textId="77777777" w:rsidR="000D297E" w:rsidRPr="00376EF3" w:rsidRDefault="000D297E" w:rsidP="000D297E">
            <w:pPr>
              <w:pStyle w:val="ITRCTableTextCentered"/>
              <w:spacing w:before="120" w:after="120"/>
            </w:pPr>
            <w:r w:rsidRPr="00376EF3">
              <w:t>µg/L</w:t>
            </w:r>
          </w:p>
        </w:tc>
        <w:tc>
          <w:tcPr>
            <w:tcW w:w="1123" w:type="dxa"/>
            <w:shd w:val="clear" w:color="auto" w:fill="EAF1DD" w:themeFill="accent3" w:themeFillTint="33"/>
            <w:noWrap/>
            <w:vAlign w:val="center"/>
            <w:hideMark/>
          </w:tcPr>
          <w:p w14:paraId="1FBA9C82" w14:textId="77777777" w:rsidR="000D297E" w:rsidRPr="00376EF3" w:rsidRDefault="000D297E" w:rsidP="000D297E">
            <w:pPr>
              <w:pStyle w:val="ITRCTableTextCentered"/>
              <w:spacing w:before="120" w:after="120"/>
            </w:pPr>
            <w:r w:rsidRPr="00376EF3">
              <w:t>21d</w:t>
            </w:r>
          </w:p>
        </w:tc>
        <w:tc>
          <w:tcPr>
            <w:tcW w:w="1282" w:type="dxa"/>
            <w:shd w:val="clear" w:color="auto" w:fill="EAF1DD" w:themeFill="accent3" w:themeFillTint="33"/>
            <w:noWrap/>
            <w:vAlign w:val="center"/>
            <w:hideMark/>
          </w:tcPr>
          <w:p w14:paraId="5512F048"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5298D7D1" w14:textId="0CB2DC33" w:rsidR="000D297E" w:rsidRPr="00376EF3" w:rsidRDefault="000D297E" w:rsidP="00431ABC">
            <w:pPr>
              <w:pStyle w:val="ITRCTableText"/>
              <w:spacing w:before="120" w:after="120"/>
            </w:pPr>
            <w:r>
              <w:fldChar w:fldCharType="begin"/>
            </w:r>
            <w:r>
              <w:instrText xml:space="preserve"> ADDIN ZOTERO_ITEM CSL_CITATION {"citationID":"qYETMzoI","properties":{"formattedCitation":"(R. S. Prosser et al. 2017)","plainCitation":"(R. S. Prosser et al. 2017)","noteIndex":0},"citationItems":[{"id":10675,"uris":["http://zotero.org/groups/4889498/items/R484ELJZ"],"itemData":{"id":10675,"type":"article-journal","abstract":"Substituted phenylamine antioxidants (SPAs) are produced in relatively high volumes and used in a range of applications (e.g., rubber, polyurethane); however, little is known about their toxicity to aquatic biota. Therefore, current study examined the effects of chronic exposure (28 d) to four sediment-associated SPAs on epibenthic (Hyalella azteca) and endobenthic (Tubifex tubifex) organisms. In addition, acute (96-h), water-only exposures were conducted with H. azteca. Mortality, growth and biomass production were assessed in juvenile H. azteca exposed to diphenylamine (DPA), N-phenyl-1-napthylamine (PNA), N-(1,3-dimethylbutyl)-N’-phenyl-1,4-phenylenediamine (DPPDA), or 4,4’-methylene-bis[N-sec-butylaniline] (MBA). Mortality of adult T. tubifex and reproduction were assessed following exposure to the four SPAs. The 96-h LC50s for juvenile H. azteca were 1443, 109, 250, and &gt;22 μg/L and 28-d LC50s were 22, 99, 135, and &gt;403 μg/g dry weight (dw) for DPA, PNA, DPPDA, and MBA, respectively. Reproductive endpoints for T. tubifex (EC50s for production of juveniles &gt; 500 μm: 15, 9, 4, 3.6 μg/g dw, for DPA, PNA, DPPDA, and MBA, respectively) were an order of magnitude more sensitive than endpoints for juvenile H. azteca and mortality of adult worms. The variation in toxicity across the four SPAs was likely related to the bioavailability of the sediment-associated chemicals, which was determined by the chemical properties of the SPAs (e.g., solubility in water, Koc). The variation in the sensitivity between the two species was likely due to differences in the magnitude of exposure, which is a function of the life histories of the epibenthic amphipod and the endobenthic worm. The data generated from this study will support effect characterization for ecological risk assessment.","container-title":"Chemosphere","DOI":"10.1016/j.chemosphere.2017.04.066","ISSN":"0045-6535","journalAbbreviation":"Chemosphere","language":"en","page":"250-258","source":"ScienceDirect","title":"Variation in the toxicity of sediment-associated substituted phenylamine antioxidants to an epibenthic (Hyalella azteca) and endobenthic (Tubifex tubifex) invertebrate","volume":"181","author":[{"family":"Prosser","given":"R. S."},{"family":"Bartlett","given":"A. J."},{"family":"Milani","given":"D."},{"family":"Holman","given":"E. A. M."},{"family":"Ikert","given":"H."},{"family":"Schissler","given":"D."},{"family":"Toito","given":"J."},{"family":"Parrott","given":"J. L."},{"family":"Gillis","given":"P. L."},{"family":"Balakrishnan","given":"V. K."}],"issued":{"date-parts":[["2017",8,1]]}}}],"schema":"https://github.com/citation-style-language/schema/raw/master/csl-citation.json"} </w:instrText>
            </w:r>
            <w:r>
              <w:fldChar w:fldCharType="separate"/>
            </w:r>
            <w:r w:rsidRPr="001A32AF">
              <w:t>(R. S. Prosser et al. 2017)</w:t>
            </w:r>
            <w:r>
              <w:fldChar w:fldCharType="end"/>
            </w:r>
          </w:p>
        </w:tc>
      </w:tr>
      <w:tr w:rsidR="000D297E" w:rsidRPr="00376EF3" w14:paraId="463006BD" w14:textId="77777777" w:rsidTr="00431ABC">
        <w:trPr>
          <w:cantSplit/>
        </w:trPr>
        <w:tc>
          <w:tcPr>
            <w:tcW w:w="1253" w:type="dxa"/>
            <w:shd w:val="clear" w:color="auto" w:fill="EAF1DD" w:themeFill="accent3" w:themeFillTint="33"/>
            <w:noWrap/>
            <w:vAlign w:val="center"/>
            <w:hideMark/>
          </w:tcPr>
          <w:p w14:paraId="229E5B84"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302991EC" w14:textId="77777777" w:rsidR="000D297E" w:rsidRPr="00376EF3" w:rsidRDefault="000D297E" w:rsidP="000D297E">
            <w:pPr>
              <w:pStyle w:val="ITRCTableTextCentered"/>
              <w:spacing w:before="120" w:after="120"/>
            </w:pPr>
            <w:r w:rsidRPr="00376EF3">
              <w:t>Fish</w:t>
            </w:r>
          </w:p>
        </w:tc>
        <w:tc>
          <w:tcPr>
            <w:tcW w:w="3686" w:type="dxa"/>
            <w:shd w:val="clear" w:color="auto" w:fill="EAF1DD" w:themeFill="accent3" w:themeFillTint="33"/>
            <w:vAlign w:val="center"/>
          </w:tcPr>
          <w:p w14:paraId="45CFE2B3" w14:textId="77777777" w:rsidR="000D297E" w:rsidRPr="00376EF3" w:rsidRDefault="000D297E" w:rsidP="000D297E">
            <w:pPr>
              <w:pStyle w:val="ITRCTableTextCentered"/>
              <w:spacing w:before="120" w:after="120"/>
            </w:pPr>
            <w:r w:rsidRPr="00376EF3">
              <w:t xml:space="preserve">Japanese medaka, </w:t>
            </w:r>
            <w:proofErr w:type="spellStart"/>
            <w:r w:rsidRPr="00A04B65">
              <w:rPr>
                <w:i/>
              </w:rPr>
              <w:t>Oryzias</w:t>
            </w:r>
            <w:proofErr w:type="spellEnd"/>
            <w:r w:rsidRPr="00A04B65">
              <w:rPr>
                <w:i/>
              </w:rPr>
              <w:t xml:space="preserve"> </w:t>
            </w:r>
            <w:proofErr w:type="spellStart"/>
            <w:r w:rsidRPr="00A04B65">
              <w:rPr>
                <w:i/>
              </w:rPr>
              <w:t>latipes</w:t>
            </w:r>
            <w:proofErr w:type="spellEnd"/>
          </w:p>
        </w:tc>
        <w:tc>
          <w:tcPr>
            <w:tcW w:w="1627" w:type="dxa"/>
            <w:shd w:val="clear" w:color="auto" w:fill="EAF1DD" w:themeFill="accent3" w:themeFillTint="33"/>
            <w:noWrap/>
            <w:vAlign w:val="center"/>
            <w:hideMark/>
          </w:tcPr>
          <w:p w14:paraId="5338D04E" w14:textId="77777777" w:rsidR="000D297E" w:rsidRPr="00376EF3" w:rsidRDefault="000D297E" w:rsidP="000D297E">
            <w:pPr>
              <w:pStyle w:val="ITRCTableTextCentered"/>
              <w:spacing w:before="120" w:after="120"/>
            </w:pPr>
            <w:r w:rsidRPr="00376EF3">
              <w:t>3.7</w:t>
            </w:r>
          </w:p>
        </w:tc>
        <w:tc>
          <w:tcPr>
            <w:tcW w:w="778" w:type="dxa"/>
            <w:shd w:val="clear" w:color="auto" w:fill="EAF1DD" w:themeFill="accent3" w:themeFillTint="33"/>
            <w:noWrap/>
            <w:vAlign w:val="center"/>
            <w:hideMark/>
          </w:tcPr>
          <w:p w14:paraId="459C3406" w14:textId="77777777" w:rsidR="000D297E" w:rsidRPr="00376EF3" w:rsidRDefault="000D297E" w:rsidP="000D297E">
            <w:pPr>
              <w:pStyle w:val="ITRCTableTextCentered"/>
              <w:spacing w:before="120" w:after="120"/>
            </w:pPr>
            <w:r w:rsidRPr="00376EF3">
              <w:t>µg/L</w:t>
            </w:r>
          </w:p>
        </w:tc>
        <w:tc>
          <w:tcPr>
            <w:tcW w:w="1123" w:type="dxa"/>
            <w:shd w:val="clear" w:color="auto" w:fill="EAF1DD" w:themeFill="accent3" w:themeFillTint="33"/>
            <w:noWrap/>
            <w:vAlign w:val="center"/>
            <w:hideMark/>
          </w:tcPr>
          <w:p w14:paraId="1484B568" w14:textId="77777777" w:rsidR="000D297E" w:rsidRPr="00376EF3" w:rsidRDefault="000D297E" w:rsidP="000D297E">
            <w:pPr>
              <w:pStyle w:val="ITRCTableTextCentered"/>
              <w:spacing w:before="120" w:after="120"/>
            </w:pPr>
            <w:r w:rsidRPr="00376EF3">
              <w:t>30d</w:t>
            </w:r>
          </w:p>
        </w:tc>
        <w:tc>
          <w:tcPr>
            <w:tcW w:w="1282" w:type="dxa"/>
            <w:shd w:val="clear" w:color="auto" w:fill="EAF1DD" w:themeFill="accent3" w:themeFillTint="33"/>
            <w:noWrap/>
            <w:vAlign w:val="center"/>
            <w:hideMark/>
          </w:tcPr>
          <w:p w14:paraId="4230077C" w14:textId="25FFAEA3" w:rsidR="000D297E" w:rsidRPr="00376EF3" w:rsidRDefault="000937D2"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479BFC6F" w14:textId="3CFB4DFC" w:rsidR="000D297E" w:rsidRPr="00376EF3" w:rsidRDefault="002349DA" w:rsidP="00431ABC">
            <w:pPr>
              <w:pStyle w:val="ITRCTableText"/>
              <w:spacing w:before="120" w:after="120"/>
            </w:pPr>
            <w:r>
              <w:fldChar w:fldCharType="begin"/>
            </w:r>
            <w:r>
              <w:instrText xml:space="preserve"> ADDIN ZOTERO_ITEM CSL_CITATION {"citationID":"09r1H7q7","properties":{"formattedCitation":"(Japan Ministry of the Environment 2018)","plainCitation":"(Japan Ministry of the Environment 2018)","noteIndex":0},"citationItems":[{"id":2573,"uris":["http://zotero.org/groups/4911552/items/VKF97H32"],"itemData":{"id":2573,"type":"report","event-place":"Tokyo, Japan","page":"31","publisher":"Japan Ministry of the Environment","publisher-place":"Tokyo, Japan","title":"Results of aquatic toxicity tests of chemicals conducted by Ministry of the Environment in Japan (March 2018)","URL":"https://www.env.go.jp/en/chemi/sesaku/aquatic_Mar_2018.pdf","author":[{"family":"Japan Ministry of the Environment","given":""}],"issued":{"date-parts":[["2018",3]]}}}],"schema":"https://github.com/citation-style-language/schema/raw/master/csl-citation.json"} </w:instrText>
            </w:r>
            <w:r>
              <w:fldChar w:fldCharType="separate"/>
            </w:r>
            <w:r w:rsidRPr="006A64AD">
              <w:t>(Japan Ministry of the Environment 2018)</w:t>
            </w:r>
            <w:r>
              <w:fldChar w:fldCharType="end"/>
            </w:r>
          </w:p>
        </w:tc>
      </w:tr>
      <w:tr w:rsidR="000D297E" w:rsidRPr="00376EF3" w14:paraId="7EF5E7EE" w14:textId="77777777" w:rsidTr="00431ABC">
        <w:trPr>
          <w:cantSplit/>
        </w:trPr>
        <w:tc>
          <w:tcPr>
            <w:tcW w:w="1253" w:type="dxa"/>
            <w:shd w:val="clear" w:color="auto" w:fill="EAF1DD" w:themeFill="accent3" w:themeFillTint="33"/>
            <w:noWrap/>
            <w:vAlign w:val="center"/>
            <w:hideMark/>
          </w:tcPr>
          <w:p w14:paraId="3B7F6763"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21AE1BEE" w14:textId="77777777" w:rsidR="000D297E" w:rsidRPr="00376EF3" w:rsidRDefault="000D297E" w:rsidP="000D297E">
            <w:pPr>
              <w:pStyle w:val="ITRCTableTextCentered"/>
              <w:spacing w:before="120" w:after="120"/>
            </w:pPr>
            <w:r w:rsidRPr="00376EF3">
              <w:t>Invertebrate</w:t>
            </w:r>
          </w:p>
        </w:tc>
        <w:tc>
          <w:tcPr>
            <w:tcW w:w="3686" w:type="dxa"/>
            <w:shd w:val="clear" w:color="auto" w:fill="EAF1DD" w:themeFill="accent3" w:themeFillTint="33"/>
            <w:vAlign w:val="center"/>
          </w:tcPr>
          <w:p w14:paraId="2F724092" w14:textId="77777777" w:rsidR="000D297E" w:rsidRPr="00376EF3" w:rsidRDefault="000D297E" w:rsidP="000D297E">
            <w:pPr>
              <w:pStyle w:val="ITRCTableTextCentered"/>
              <w:spacing w:before="120" w:after="120"/>
            </w:pPr>
            <w:r w:rsidRPr="00376EF3">
              <w:t xml:space="preserve">Amphipod, </w:t>
            </w:r>
            <w:proofErr w:type="spellStart"/>
            <w:r w:rsidRPr="00A04B65">
              <w:rPr>
                <w:i/>
              </w:rPr>
              <w:t>Hyalella</w:t>
            </w:r>
            <w:proofErr w:type="spellEnd"/>
            <w:r w:rsidRPr="00A04B65">
              <w:rPr>
                <w:i/>
              </w:rPr>
              <w:t xml:space="preserve"> </w:t>
            </w:r>
            <w:proofErr w:type="spellStart"/>
            <w:r w:rsidRPr="00A04B65">
              <w:rPr>
                <w:i/>
              </w:rPr>
              <w:t>azteca</w:t>
            </w:r>
            <w:proofErr w:type="spellEnd"/>
          </w:p>
        </w:tc>
        <w:tc>
          <w:tcPr>
            <w:tcW w:w="1627" w:type="dxa"/>
            <w:shd w:val="clear" w:color="auto" w:fill="EAF1DD" w:themeFill="accent3" w:themeFillTint="33"/>
            <w:noWrap/>
            <w:vAlign w:val="center"/>
            <w:hideMark/>
          </w:tcPr>
          <w:p w14:paraId="4D23E2FA" w14:textId="77777777" w:rsidR="000D297E" w:rsidRPr="00376EF3" w:rsidRDefault="000D297E" w:rsidP="000D297E">
            <w:pPr>
              <w:pStyle w:val="ITRCTableTextCentered"/>
              <w:spacing w:before="120" w:after="120"/>
            </w:pPr>
            <w:r w:rsidRPr="00376EF3">
              <w:t>68</w:t>
            </w:r>
          </w:p>
        </w:tc>
        <w:tc>
          <w:tcPr>
            <w:tcW w:w="778" w:type="dxa"/>
            <w:shd w:val="clear" w:color="auto" w:fill="EAF1DD" w:themeFill="accent3" w:themeFillTint="33"/>
            <w:noWrap/>
            <w:vAlign w:val="center"/>
            <w:hideMark/>
          </w:tcPr>
          <w:p w14:paraId="74C764AA" w14:textId="77777777" w:rsidR="000D297E" w:rsidRPr="00376EF3" w:rsidRDefault="000D297E" w:rsidP="000D297E">
            <w:pPr>
              <w:pStyle w:val="ITRCTableTextCentered"/>
              <w:spacing w:before="120" w:after="120"/>
            </w:pPr>
            <w:r w:rsidRPr="00376EF3">
              <w:t xml:space="preserve">µg/g </w:t>
            </w:r>
            <w:proofErr w:type="spellStart"/>
            <w:r w:rsidRPr="00376EF3">
              <w:t>dw</w:t>
            </w:r>
            <w:proofErr w:type="spellEnd"/>
          </w:p>
        </w:tc>
        <w:tc>
          <w:tcPr>
            <w:tcW w:w="1123" w:type="dxa"/>
            <w:shd w:val="clear" w:color="auto" w:fill="EAF1DD" w:themeFill="accent3" w:themeFillTint="33"/>
            <w:noWrap/>
            <w:vAlign w:val="center"/>
            <w:hideMark/>
          </w:tcPr>
          <w:p w14:paraId="206DB16A" w14:textId="77777777" w:rsidR="000D297E" w:rsidRPr="00376EF3" w:rsidRDefault="000D297E" w:rsidP="000D297E">
            <w:pPr>
              <w:pStyle w:val="ITRCTableTextCentered"/>
              <w:spacing w:before="120" w:after="120"/>
            </w:pPr>
            <w:r w:rsidRPr="00376EF3">
              <w:t>28d</w:t>
            </w:r>
          </w:p>
        </w:tc>
        <w:tc>
          <w:tcPr>
            <w:tcW w:w="1282" w:type="dxa"/>
            <w:shd w:val="clear" w:color="auto" w:fill="EAF1DD" w:themeFill="accent3" w:themeFillTint="33"/>
            <w:noWrap/>
            <w:vAlign w:val="center"/>
            <w:hideMark/>
          </w:tcPr>
          <w:p w14:paraId="2B3BF977"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36DE086C" w14:textId="77777777" w:rsidR="000D297E" w:rsidRPr="00376EF3" w:rsidRDefault="000D297E" w:rsidP="00431ABC">
            <w:pPr>
              <w:pStyle w:val="ITRCTableText"/>
              <w:spacing w:before="120" w:after="120"/>
            </w:pPr>
            <w:r>
              <w:fldChar w:fldCharType="begin"/>
            </w:r>
            <w:r>
              <w:instrText xml:space="preserve"> ADDIN ZOTERO_ITEM CSL_CITATION {"citationID":"qYETMzoI","properties":{"formattedCitation":"(R. S. Prosser et al. 2017)","plainCitation":"(R. S. Prosser et al. 2017)","noteIndex":0},"citationItems":[{"id":10675,"uris":["http://zotero.org/groups/4889498/items/R484ELJZ"],"itemData":{"id":10675,"type":"article-journal","abstract":"Substituted phenylamine antioxidants (SPAs) are produced in relatively high volumes and used in a range of applications (e.g., rubber, polyurethane); however, little is known about their toxicity to aquatic biota. Therefore, current study examined the effects of chronic exposure (28 d) to four sediment-associated SPAs on epibenthic (Hyalella azteca) and endobenthic (Tubifex tubifex) organisms. In addition, acute (96-h), water-only exposures were conducted with H. azteca. Mortality, growth and biomass production were assessed in juvenile H. azteca exposed to diphenylamine (DPA), N-phenyl-1-napthylamine (PNA), N-(1,3-dimethylbutyl)-N’-phenyl-1,4-phenylenediamine (DPPDA), or 4,4’-methylene-bis[N-sec-butylaniline] (MBA). Mortality of adult T. tubifex and reproduction were assessed following exposure to the four SPAs. The 96-h LC50s for juvenile H. azteca were 1443, 109, 250, and &gt;22 μg/L and 28-d LC50s were 22, 99, 135, and &gt;403 μg/g dry weight (dw) for DPA, PNA, DPPDA, and MBA, respectively. Reproductive endpoints for T. tubifex (EC50s for production of juveniles &gt; 500 μm: 15, 9, 4, 3.6 μg/g dw, for DPA, PNA, DPPDA, and MBA, respectively) were an order of magnitude more sensitive than endpoints for juvenile H. azteca and mortality of adult worms. The variation in toxicity across the four SPAs was likely related to the bioavailability of the sediment-associated chemicals, which was determined by the chemical properties of the SPAs (e.g., solubility in water, Koc). The variation in the sensitivity between the two species was likely due to differences in the magnitude of exposure, which is a function of the life histories of the epibenthic amphipod and the endobenthic worm. The data generated from this study will support effect characterization for ecological risk assessment.","container-title":"Chemosphere","DOI":"10.1016/j.chemosphere.2017.04.066","ISSN":"0045-6535","journalAbbreviation":"Chemosphere","language":"en","page":"250-258","source":"ScienceDirect","title":"Variation in the toxicity of sediment-associated substituted phenylamine antioxidants to an epibenthic (Hyalella azteca) and endobenthic (Tubifex tubifex) invertebrate","volume":"181","author":[{"family":"Prosser","given":"R. S."},{"family":"Bartlett","given":"A. J."},{"family":"Milani","given":"D."},{"family":"Holman","given":"E. A. M."},{"family":"Ikert","given":"H."},{"family":"Schissler","given":"D."},{"family":"Toito","given":"J."},{"family":"Parrott","given":"J. L."},{"family":"Gillis","given":"P. L."},{"family":"Balakrishnan","given":"V. K."}],"issued":{"date-parts":[["2017",8,1]]}}}],"schema":"https://github.com/citation-style-language/schema/raw/master/csl-citation.json"} </w:instrText>
            </w:r>
            <w:r>
              <w:fldChar w:fldCharType="separate"/>
            </w:r>
            <w:r w:rsidRPr="001A32AF">
              <w:t>(R. S. Prosser et al. 2017)</w:t>
            </w:r>
            <w:r>
              <w:fldChar w:fldCharType="end"/>
            </w:r>
          </w:p>
        </w:tc>
      </w:tr>
      <w:tr w:rsidR="000D297E" w:rsidRPr="00376EF3" w14:paraId="084AB853" w14:textId="77777777" w:rsidTr="00431ABC">
        <w:trPr>
          <w:cantSplit/>
        </w:trPr>
        <w:tc>
          <w:tcPr>
            <w:tcW w:w="1253" w:type="dxa"/>
            <w:shd w:val="clear" w:color="auto" w:fill="EAF1DD" w:themeFill="accent3" w:themeFillTint="33"/>
            <w:noWrap/>
            <w:vAlign w:val="center"/>
            <w:hideMark/>
          </w:tcPr>
          <w:p w14:paraId="3ACF875A"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46886521" w14:textId="77777777" w:rsidR="000D297E" w:rsidRPr="00376EF3" w:rsidRDefault="000D297E" w:rsidP="000D297E">
            <w:pPr>
              <w:pStyle w:val="ITRCTableTextCentered"/>
              <w:spacing w:before="120" w:after="120"/>
            </w:pPr>
            <w:r w:rsidRPr="00376EF3">
              <w:t>Invertebrate</w:t>
            </w:r>
          </w:p>
        </w:tc>
        <w:tc>
          <w:tcPr>
            <w:tcW w:w="3686" w:type="dxa"/>
            <w:shd w:val="clear" w:color="auto" w:fill="EAF1DD" w:themeFill="accent3" w:themeFillTint="33"/>
            <w:vAlign w:val="center"/>
          </w:tcPr>
          <w:p w14:paraId="799C903B" w14:textId="77777777" w:rsidR="000D297E" w:rsidRPr="00376EF3" w:rsidRDefault="000D297E" w:rsidP="000D297E">
            <w:pPr>
              <w:pStyle w:val="ITRCTableTextCentered"/>
              <w:spacing w:before="120" w:after="120"/>
            </w:pPr>
            <w:r w:rsidRPr="00376EF3">
              <w:t xml:space="preserve">Amphipod, </w:t>
            </w:r>
            <w:proofErr w:type="spellStart"/>
            <w:r w:rsidRPr="00A04B65">
              <w:rPr>
                <w:i/>
              </w:rPr>
              <w:t>Hyalella</w:t>
            </w:r>
            <w:proofErr w:type="spellEnd"/>
            <w:r w:rsidRPr="00A04B65">
              <w:rPr>
                <w:i/>
              </w:rPr>
              <w:t xml:space="preserve"> </w:t>
            </w:r>
            <w:proofErr w:type="spellStart"/>
            <w:r w:rsidRPr="00A04B65">
              <w:rPr>
                <w:i/>
              </w:rPr>
              <w:t>azteca</w:t>
            </w:r>
            <w:proofErr w:type="spellEnd"/>
          </w:p>
        </w:tc>
        <w:tc>
          <w:tcPr>
            <w:tcW w:w="1627" w:type="dxa"/>
            <w:shd w:val="clear" w:color="auto" w:fill="EAF1DD" w:themeFill="accent3" w:themeFillTint="33"/>
            <w:noWrap/>
            <w:vAlign w:val="center"/>
            <w:hideMark/>
          </w:tcPr>
          <w:p w14:paraId="06562132" w14:textId="77777777" w:rsidR="000D297E" w:rsidRPr="00376EF3" w:rsidRDefault="000D297E" w:rsidP="000D297E">
            <w:pPr>
              <w:pStyle w:val="ITRCTableTextCentered"/>
              <w:spacing w:before="120" w:after="120"/>
            </w:pPr>
            <w:r w:rsidRPr="00376EF3">
              <w:t>6</w:t>
            </w:r>
          </w:p>
        </w:tc>
        <w:tc>
          <w:tcPr>
            <w:tcW w:w="778" w:type="dxa"/>
            <w:shd w:val="clear" w:color="auto" w:fill="EAF1DD" w:themeFill="accent3" w:themeFillTint="33"/>
            <w:noWrap/>
            <w:vAlign w:val="center"/>
            <w:hideMark/>
          </w:tcPr>
          <w:p w14:paraId="31443516" w14:textId="77777777" w:rsidR="000D297E" w:rsidRPr="00376EF3" w:rsidRDefault="000D297E" w:rsidP="000D297E">
            <w:pPr>
              <w:pStyle w:val="ITRCTableTextCentered"/>
              <w:spacing w:before="120" w:after="120"/>
            </w:pPr>
            <w:r w:rsidRPr="00376EF3">
              <w:t>µg/L</w:t>
            </w:r>
          </w:p>
        </w:tc>
        <w:tc>
          <w:tcPr>
            <w:tcW w:w="1123" w:type="dxa"/>
            <w:shd w:val="clear" w:color="auto" w:fill="EAF1DD" w:themeFill="accent3" w:themeFillTint="33"/>
            <w:noWrap/>
            <w:vAlign w:val="center"/>
            <w:hideMark/>
          </w:tcPr>
          <w:p w14:paraId="20B55021" w14:textId="77777777" w:rsidR="000D297E" w:rsidRPr="00376EF3" w:rsidRDefault="000D297E" w:rsidP="000D297E">
            <w:pPr>
              <w:pStyle w:val="ITRCTableTextCentered"/>
              <w:spacing w:before="120" w:after="120"/>
            </w:pPr>
            <w:r w:rsidRPr="00376EF3">
              <w:t>28d</w:t>
            </w:r>
          </w:p>
        </w:tc>
        <w:tc>
          <w:tcPr>
            <w:tcW w:w="1282" w:type="dxa"/>
            <w:shd w:val="clear" w:color="auto" w:fill="EAF1DD" w:themeFill="accent3" w:themeFillTint="33"/>
            <w:noWrap/>
            <w:vAlign w:val="center"/>
            <w:hideMark/>
          </w:tcPr>
          <w:p w14:paraId="66CFD23C"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4DC1363E" w14:textId="77777777" w:rsidR="000D297E" w:rsidRPr="00376EF3" w:rsidRDefault="000D297E" w:rsidP="00431ABC">
            <w:pPr>
              <w:pStyle w:val="ITRCTableText"/>
              <w:spacing w:before="120" w:after="120"/>
            </w:pPr>
            <w:r>
              <w:fldChar w:fldCharType="begin"/>
            </w:r>
            <w:r>
              <w:instrText xml:space="preserve"> ADDIN ZOTERO_ITEM CSL_CITATION {"citationID":"por9cG5E","properties":{"formattedCitation":"(R. S. Prosser et al. 2017)","plainCitation":"(R. S. Prosser et al. 2017)","noteIndex":0},"citationItems":[{"id":10675,"uris":["http://zotero.org/groups/4889498/items/R484ELJZ"],"itemData":{"id":10675,"type":"article-journal","abstract":"Substituted phenylamine antioxidants (SPAs) are produced in relatively high volumes and used in a range of applications (e.g., rubber, polyurethane); however, little is known about their toxicity to aquatic biota. Therefore, current study examined the effects of chronic exposure (28 d) to four sediment-associated SPAs on epibenthic (Hyalella azteca) and endobenthic (Tubifex tubifex) organisms. In addition, acute (96-h), water-only exposures were conducted with H. azteca. Mortality, growth and biomass production were assessed in juvenile H. azteca exposed to diphenylamine (DPA), N-phenyl-1-napthylamine (PNA), N-(1,3-dimethylbutyl)-N’-phenyl-1,4-phenylenediamine (DPPDA), or 4,4’-methylene-bis[N-sec-butylaniline] (MBA). Mortality of adult T. tubifex and reproduction were assessed following exposure to the four SPAs. The 96-h LC50s for juvenile H. azteca were 1443, 109, 250, and &gt;22 μg/L and 28-d LC50s were 22, 99, 135, and &gt;403 μg/g dry weight (dw) for DPA, PNA, DPPDA, and MBA, respectively. Reproductive endpoints for T. tubifex (EC50s for production of juveniles &gt; 500 μm: 15, 9, 4, 3.6 μg/g dw, for DPA, PNA, DPPDA, and MBA, respectively) were an order of magnitude more sensitive than endpoints for juvenile H. azteca and mortality of adult worms. The variation in toxicity across the four SPAs was likely related to the bioavailability of the sediment-associated chemicals, which was determined by the chemical properties of the SPAs (e.g., solubility in water, Koc). The variation in the sensitivity between the two species was likely due to differences in the magnitude of exposure, which is a function of the life histories of the epibenthic amphipod and the endobenthic worm. The data generated from this study will support effect characterization for ecological risk assessment.","container-title":"Chemosphere","DOI":"10.1016/j.chemosphere.2017.04.066","ISSN":"0045-6535","journalAbbreviation":"Chemosphere","language":"en","page":"250-258","source":"ScienceDirect","title":"Variation in the toxicity of sediment-associated substituted phenylamine antioxidants to an epibenthic (Hyalella azteca) and endobenthic (Tubifex tubifex) invertebrate","volume":"181","author":[{"family":"Prosser","given":"R. S."},{"family":"Bartlett","given":"A. J."},{"family":"Milani","given":"D."},{"family":"Holman","given":"E. A. M."},{"family":"Ikert","given":"H."},{"family":"Schissler","given":"D."},{"family":"Toito","given":"J."},{"family":"Parrott","given":"J. L."},{"family":"Gillis","given":"P. L."},{"family":"Balakrishnan","given":"V. K."}],"issued":{"date-parts":[["2017",8,1]]}}}],"schema":"https://github.com/citation-style-language/schema/raw/master/csl-citation.json"} </w:instrText>
            </w:r>
            <w:r>
              <w:fldChar w:fldCharType="separate"/>
            </w:r>
            <w:r w:rsidRPr="001A32AF">
              <w:t>(R. S. Prosser et al. 2017)</w:t>
            </w:r>
            <w:r>
              <w:fldChar w:fldCharType="end"/>
            </w:r>
          </w:p>
        </w:tc>
      </w:tr>
      <w:tr w:rsidR="000D297E" w:rsidRPr="00376EF3" w14:paraId="2DB86C62" w14:textId="77777777" w:rsidTr="00431ABC">
        <w:trPr>
          <w:cantSplit/>
        </w:trPr>
        <w:tc>
          <w:tcPr>
            <w:tcW w:w="1253" w:type="dxa"/>
            <w:shd w:val="clear" w:color="auto" w:fill="EAF1DD" w:themeFill="accent3" w:themeFillTint="33"/>
            <w:noWrap/>
            <w:vAlign w:val="center"/>
            <w:hideMark/>
          </w:tcPr>
          <w:p w14:paraId="358E0CCA"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258D638C" w14:textId="77777777" w:rsidR="000D297E" w:rsidRPr="00376EF3" w:rsidRDefault="000D297E" w:rsidP="000D297E">
            <w:pPr>
              <w:pStyle w:val="ITRCTableTextCentered"/>
              <w:spacing w:before="120" w:after="120"/>
            </w:pPr>
            <w:r w:rsidRPr="00376EF3">
              <w:t>Invertebrate</w:t>
            </w:r>
          </w:p>
        </w:tc>
        <w:tc>
          <w:tcPr>
            <w:tcW w:w="3686" w:type="dxa"/>
            <w:shd w:val="clear" w:color="auto" w:fill="EAF1DD" w:themeFill="accent3" w:themeFillTint="33"/>
            <w:vAlign w:val="center"/>
          </w:tcPr>
          <w:p w14:paraId="3C30B43F" w14:textId="77777777" w:rsidR="000D297E" w:rsidRPr="00376EF3" w:rsidRDefault="000D297E" w:rsidP="000D297E">
            <w:pPr>
              <w:pStyle w:val="ITRCTableTextCentered"/>
              <w:spacing w:before="120" w:after="120"/>
            </w:pPr>
            <w:r w:rsidRPr="00376EF3">
              <w:t xml:space="preserve">Aquatic worm, </w:t>
            </w:r>
            <w:r w:rsidRPr="00A04B65">
              <w:rPr>
                <w:i/>
              </w:rPr>
              <w:t xml:space="preserve">Tubifex </w:t>
            </w:r>
            <w:proofErr w:type="spellStart"/>
            <w:r w:rsidRPr="00A04B65">
              <w:rPr>
                <w:i/>
              </w:rPr>
              <w:t>tubifex</w:t>
            </w:r>
            <w:proofErr w:type="spellEnd"/>
          </w:p>
        </w:tc>
        <w:tc>
          <w:tcPr>
            <w:tcW w:w="1627" w:type="dxa"/>
            <w:shd w:val="clear" w:color="auto" w:fill="EAF1DD" w:themeFill="accent3" w:themeFillTint="33"/>
            <w:noWrap/>
            <w:vAlign w:val="center"/>
            <w:hideMark/>
          </w:tcPr>
          <w:p w14:paraId="337FAC2E" w14:textId="77777777" w:rsidR="000D297E" w:rsidRPr="00376EF3" w:rsidRDefault="000D297E" w:rsidP="000D297E">
            <w:pPr>
              <w:pStyle w:val="ITRCTableTextCentered"/>
              <w:spacing w:before="120" w:after="120"/>
            </w:pPr>
            <w:r w:rsidRPr="00376EF3">
              <w:t>63</w:t>
            </w:r>
          </w:p>
        </w:tc>
        <w:tc>
          <w:tcPr>
            <w:tcW w:w="778" w:type="dxa"/>
            <w:shd w:val="clear" w:color="auto" w:fill="EAF1DD" w:themeFill="accent3" w:themeFillTint="33"/>
            <w:noWrap/>
            <w:vAlign w:val="center"/>
            <w:hideMark/>
          </w:tcPr>
          <w:p w14:paraId="43FD2BA4" w14:textId="77777777" w:rsidR="000D297E" w:rsidRPr="00376EF3" w:rsidRDefault="000D297E" w:rsidP="000D297E">
            <w:pPr>
              <w:pStyle w:val="ITRCTableTextCentered"/>
              <w:spacing w:before="120" w:after="120"/>
            </w:pPr>
            <w:r w:rsidRPr="00376EF3">
              <w:t xml:space="preserve">µg/g </w:t>
            </w:r>
            <w:proofErr w:type="spellStart"/>
            <w:r w:rsidRPr="00376EF3">
              <w:t>dw</w:t>
            </w:r>
            <w:proofErr w:type="spellEnd"/>
          </w:p>
        </w:tc>
        <w:tc>
          <w:tcPr>
            <w:tcW w:w="1123" w:type="dxa"/>
            <w:shd w:val="clear" w:color="auto" w:fill="EAF1DD" w:themeFill="accent3" w:themeFillTint="33"/>
            <w:noWrap/>
            <w:vAlign w:val="center"/>
            <w:hideMark/>
          </w:tcPr>
          <w:p w14:paraId="627FFEA1" w14:textId="77777777" w:rsidR="000D297E" w:rsidRPr="00376EF3" w:rsidRDefault="000D297E" w:rsidP="000D297E">
            <w:pPr>
              <w:pStyle w:val="ITRCTableTextCentered"/>
              <w:spacing w:before="120" w:after="120"/>
            </w:pPr>
            <w:r w:rsidRPr="00376EF3">
              <w:t>28d</w:t>
            </w:r>
          </w:p>
        </w:tc>
        <w:tc>
          <w:tcPr>
            <w:tcW w:w="1282" w:type="dxa"/>
            <w:shd w:val="clear" w:color="auto" w:fill="EAF1DD" w:themeFill="accent3" w:themeFillTint="33"/>
            <w:noWrap/>
            <w:vAlign w:val="center"/>
            <w:hideMark/>
          </w:tcPr>
          <w:p w14:paraId="63584E56"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4DC23001" w14:textId="77777777" w:rsidR="000D297E" w:rsidRPr="00376EF3" w:rsidRDefault="000D297E" w:rsidP="00431ABC">
            <w:pPr>
              <w:pStyle w:val="ITRCTableText"/>
              <w:spacing w:before="120" w:after="120"/>
            </w:pPr>
            <w:r>
              <w:fldChar w:fldCharType="begin"/>
            </w:r>
            <w:r>
              <w:instrText xml:space="preserve"> ADDIN ZOTERO_ITEM CSL_CITATION {"citationID":"dCTq9e8h","properties":{"formattedCitation":"(R. S. Prosser et al. 2017)","plainCitation":"(R. S. Prosser et al. 2017)","noteIndex":0},"citationItems":[{"id":10675,"uris":["http://zotero.org/groups/4889498/items/R484ELJZ"],"itemData":{"id":10675,"type":"article-journal","abstract":"Substituted phenylamine antioxidants (SPAs) are produced in relatively high volumes and used in a range of applications (e.g., rubber, polyurethane); however, little is known about their toxicity to aquatic biota. Therefore, current study examined the effects of chronic exposure (28 d) to four sediment-associated SPAs on epibenthic (Hyalella azteca) and endobenthic (Tubifex tubifex) organisms. In addition, acute (96-h), water-only exposures were conducted with H. azteca. Mortality, growth and biomass production were assessed in juvenile H. azteca exposed to diphenylamine (DPA), N-phenyl-1-napthylamine (PNA), N-(1,3-dimethylbutyl)-N’-phenyl-1,4-phenylenediamine (DPPDA), or 4,4’-methylene-bis[N-sec-butylaniline] (MBA). Mortality of adult T. tubifex and reproduction were assessed following exposure to the four SPAs. The 96-h LC50s for juvenile H. azteca were 1443, 109, 250, and &gt;22 μg/L and 28-d LC50s were 22, 99, 135, and &gt;403 μg/g dry weight (dw) for DPA, PNA, DPPDA, and MBA, respectively. Reproductive endpoints for T. tubifex (EC50s for production of juveniles &gt; 500 μm: 15, 9, 4, 3.6 μg/g dw, for DPA, PNA, DPPDA, and MBA, respectively) were an order of magnitude more sensitive than endpoints for juvenile H. azteca and mortality of adult worms. The variation in toxicity across the four SPAs was likely related to the bioavailability of the sediment-associated chemicals, which was determined by the chemical properties of the SPAs (e.g., solubility in water, Koc). The variation in the sensitivity between the two species was likely due to differences in the magnitude of exposure, which is a function of the life histories of the epibenthic amphipod and the endobenthic worm. The data generated from this study will support effect characterization for ecological risk assessment.","container-title":"Chemosphere","DOI":"10.1016/j.chemosphere.2017.04.066","ISSN":"0045-6535","journalAbbreviation":"Chemosphere","language":"en","page":"250-258","source":"ScienceDirect","title":"Variation in the toxicity of sediment-associated substituted phenylamine antioxidants to an epibenthic (Hyalella azteca) and endobenthic (Tubifex tubifex) invertebrate","volume":"181","author":[{"family":"Prosser","given":"R. S."},{"family":"Bartlett","given":"A. J."},{"family":"Milani","given":"D."},{"family":"Holman","given":"E. A. M."},{"family":"Ikert","given":"H."},{"family":"Schissler","given":"D."},{"family":"Toito","given":"J."},{"family":"Parrott","given":"J. L."},{"family":"Gillis","given":"P. L."},{"family":"Balakrishnan","given":"V. K."}],"issued":{"date-parts":[["2017",8,1]]}}}],"schema":"https://github.com/citation-style-language/schema/raw/master/csl-citation.json"} </w:instrText>
            </w:r>
            <w:r>
              <w:fldChar w:fldCharType="separate"/>
            </w:r>
            <w:r w:rsidRPr="00B13CC3">
              <w:t>(R. S. Prosser et al. 2017)</w:t>
            </w:r>
            <w:r>
              <w:fldChar w:fldCharType="end"/>
            </w:r>
          </w:p>
        </w:tc>
      </w:tr>
      <w:tr w:rsidR="000D297E" w:rsidRPr="00376EF3" w14:paraId="6C3E41D1" w14:textId="77777777" w:rsidTr="00431ABC">
        <w:trPr>
          <w:cantSplit/>
        </w:trPr>
        <w:tc>
          <w:tcPr>
            <w:tcW w:w="1253" w:type="dxa"/>
            <w:shd w:val="clear" w:color="auto" w:fill="EAF1DD" w:themeFill="accent3" w:themeFillTint="33"/>
            <w:noWrap/>
            <w:vAlign w:val="center"/>
            <w:hideMark/>
          </w:tcPr>
          <w:p w14:paraId="1722B329"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293FF148" w14:textId="77777777" w:rsidR="000D297E" w:rsidRPr="00376EF3" w:rsidRDefault="000D297E" w:rsidP="000D297E">
            <w:pPr>
              <w:pStyle w:val="ITRCTableTextCentered"/>
              <w:spacing w:before="120" w:after="120"/>
            </w:pPr>
            <w:r w:rsidRPr="00376EF3">
              <w:t>Invertebrate</w:t>
            </w:r>
          </w:p>
        </w:tc>
        <w:tc>
          <w:tcPr>
            <w:tcW w:w="3686" w:type="dxa"/>
            <w:shd w:val="clear" w:color="auto" w:fill="EAF1DD" w:themeFill="accent3" w:themeFillTint="33"/>
            <w:vAlign w:val="center"/>
          </w:tcPr>
          <w:p w14:paraId="15181247" w14:textId="77777777" w:rsidR="000D297E" w:rsidRPr="00376EF3" w:rsidRDefault="000D297E" w:rsidP="000D297E">
            <w:pPr>
              <w:pStyle w:val="ITRCTableTextCentered"/>
              <w:spacing w:before="120" w:after="120"/>
            </w:pPr>
            <w:proofErr w:type="spellStart"/>
            <w:r w:rsidRPr="00376EF3">
              <w:t>Fatmucket</w:t>
            </w:r>
            <w:proofErr w:type="spellEnd"/>
            <w:r w:rsidRPr="00376EF3">
              <w:t xml:space="preserve"> mussel, </w:t>
            </w:r>
            <w:proofErr w:type="spellStart"/>
            <w:r w:rsidRPr="00A04B65">
              <w:rPr>
                <w:i/>
              </w:rPr>
              <w:t>Lampsilis</w:t>
            </w:r>
            <w:proofErr w:type="spellEnd"/>
            <w:r w:rsidRPr="00A04B65">
              <w:rPr>
                <w:i/>
              </w:rPr>
              <w:t xml:space="preserve"> </w:t>
            </w:r>
            <w:proofErr w:type="spellStart"/>
            <w:r w:rsidRPr="00A04B65">
              <w:rPr>
                <w:i/>
              </w:rPr>
              <w:t>siliquoidea</w:t>
            </w:r>
            <w:proofErr w:type="spellEnd"/>
          </w:p>
        </w:tc>
        <w:tc>
          <w:tcPr>
            <w:tcW w:w="1627" w:type="dxa"/>
            <w:shd w:val="clear" w:color="auto" w:fill="EAF1DD" w:themeFill="accent3" w:themeFillTint="33"/>
            <w:noWrap/>
            <w:vAlign w:val="center"/>
            <w:hideMark/>
          </w:tcPr>
          <w:p w14:paraId="5781ED55" w14:textId="77777777" w:rsidR="000D297E" w:rsidRPr="00376EF3" w:rsidRDefault="000D297E" w:rsidP="000D297E">
            <w:pPr>
              <w:pStyle w:val="ITRCTableTextCentered"/>
              <w:spacing w:before="120" w:after="120"/>
            </w:pPr>
            <w:r w:rsidRPr="00376EF3">
              <w:t>47</w:t>
            </w:r>
          </w:p>
        </w:tc>
        <w:tc>
          <w:tcPr>
            <w:tcW w:w="778" w:type="dxa"/>
            <w:shd w:val="clear" w:color="auto" w:fill="EAF1DD" w:themeFill="accent3" w:themeFillTint="33"/>
            <w:noWrap/>
            <w:vAlign w:val="center"/>
            <w:hideMark/>
          </w:tcPr>
          <w:p w14:paraId="2E7AB0EB" w14:textId="77777777" w:rsidR="000D297E" w:rsidRPr="00376EF3" w:rsidRDefault="000D297E" w:rsidP="000D297E">
            <w:pPr>
              <w:pStyle w:val="ITRCTableTextCentered"/>
              <w:spacing w:before="120" w:after="120"/>
            </w:pPr>
            <w:r w:rsidRPr="00376EF3">
              <w:t>µg/L</w:t>
            </w:r>
          </w:p>
        </w:tc>
        <w:tc>
          <w:tcPr>
            <w:tcW w:w="1123" w:type="dxa"/>
            <w:shd w:val="clear" w:color="auto" w:fill="EAF1DD" w:themeFill="accent3" w:themeFillTint="33"/>
            <w:noWrap/>
            <w:vAlign w:val="center"/>
            <w:hideMark/>
          </w:tcPr>
          <w:p w14:paraId="33E1F573" w14:textId="77777777" w:rsidR="000D297E" w:rsidRPr="00376EF3" w:rsidRDefault="000D297E" w:rsidP="000D297E">
            <w:pPr>
              <w:pStyle w:val="ITRCTableTextCentered"/>
              <w:spacing w:before="120" w:after="120"/>
            </w:pPr>
            <w:r w:rsidRPr="00376EF3">
              <w:t>14d</w:t>
            </w:r>
          </w:p>
        </w:tc>
        <w:tc>
          <w:tcPr>
            <w:tcW w:w="1282" w:type="dxa"/>
            <w:shd w:val="clear" w:color="auto" w:fill="EAF1DD" w:themeFill="accent3" w:themeFillTint="33"/>
            <w:noWrap/>
            <w:vAlign w:val="center"/>
            <w:hideMark/>
          </w:tcPr>
          <w:p w14:paraId="7E91FA97"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41476D70" w14:textId="77777777" w:rsidR="000D297E" w:rsidRPr="00376EF3" w:rsidRDefault="000D297E" w:rsidP="00431ABC">
            <w:pPr>
              <w:pStyle w:val="ITRCTableText"/>
              <w:spacing w:before="120" w:after="120"/>
            </w:pPr>
            <w:r>
              <w:fldChar w:fldCharType="begin"/>
            </w:r>
            <w:r>
              <w:instrText xml:space="preserve"> ADDIN ZOTERO_ITEM CSL_CITATION {"citationID":"Z8VDP8pA","properties":{"formattedCitation":"(R.S. Prosser et al. 2017)","plainCitation":"(R.S. Prosser et al. 2017)","noteIndex":0},"citationItems":[{"id":10674,"uris":["http://zotero.org/groups/4889498/items/3HJWM5D9"],"itemData":{"id":10674,"type":"article-journal","abstract":"Substituted phenylamines (SPAs) are incorporated into a variety of consumer products (e.g., polymers, lubricants) in order to increase the lifespan of the products by acting as a primary antioxidant. Based on their physicochemical properties, if SPAs were to enter the aquatic environment, they would likely partition into sediment. No studies to date have investigated the effect of sediment-associated SPAs on aquatic organisms. The current study examined the effect of four SPAs (diphenylamine (DPA); N-phenyl1-napthylamine (PNA); N-(1,3-dimethylbutyl)-N’-phenyl-1,4-phenylenediamine (DPPDA); 4,4’-methylene-bis[N-sec-butylaniline] (MBA)) on three different life stages of the freshwater mussel, Lampsilis siliquoidea. The viability of larvae (glochidia) of L. siliquoidea and Lampsilis fasciola was assessed after 48 h of exposure to SPAs in water. The 48-h EC50s for glochidia viability of L. siliquoidea were 5951, 606, 439, and 258 mg/L for DPA, PNA, DPPDA, and MBA, respectively, and 7946, 591, 137, and 47 mg/L, respectively, for L. fasciola. Juvenile (7e15 months) and adult L. siliquoidea were exposed to sediment-associated SPAs for 28 d. LC50s for juvenile mussels were 18, 55, 62, and 109 mg/g dry weight (dw) of sediment for DPA, PNA, DPPDA, and MBA, respectively. Adult mussels were exposed to sub-lethal concentrations of sediment-associated SPAs in order to investigate reactive oxygen species (ROS), lipid peroxidation and total glutathione in the gill, gonad, and digestive gland tissue, and viability and DNA damage in hemocytes. No signiﬁcant concentration-dependent trend in any of these biochemical and cellular endpoints relative to the concentration of sediment-associated SPAs was observed in any tissues. Investigations into the concentration of SPAs in the aquatic environment are required before a conclusion can be made on whether these compounds pose a hazard to the different life stages of freshwater mussels.","container-title":"Environmental Pollution","DOI":"10.1016/j.envpol.2017.05.086","ISSN":"02697491","language":"en","page":"281-289","source":"Crossref","title":"Effect of substituted phenylamine antioxidants on three life stages of the freshwater mussel &lt;i&gt;Lampsilis siliquoidea&lt;/i&gt;","volume":"229","author":[{"family":"Prosser","given":"R.S."},{"family":"Gillis","given":"P.L."},{"family":"Holman","given":"E.A.M."},{"family":"Schissler","given":"D."},{"family":"Ikert","given":"H."},{"family":"Toito","given":"J."},{"family":"Gilroy","given":"E."},{"family":"Campbell","given":"S."},{"family":"Bartlett","given":"A.J."},{"family":"Milani","given":"D."},{"family":"Parrott","given":"J.L."},{"family":"Balakrishnan","given":"V.K."}],"issued":{"date-parts":[["2017",10]]}}}],"schema":"https://github.com/citation-style-language/schema/raw/master/csl-citation.json"} </w:instrText>
            </w:r>
            <w:r>
              <w:fldChar w:fldCharType="separate"/>
            </w:r>
            <w:r w:rsidRPr="00B13CC3">
              <w:t>(R.S. Prosser et al. 2017)</w:t>
            </w:r>
            <w:r>
              <w:fldChar w:fldCharType="end"/>
            </w:r>
          </w:p>
        </w:tc>
      </w:tr>
      <w:tr w:rsidR="000D297E" w:rsidRPr="00376EF3" w14:paraId="543C4A9E" w14:textId="77777777" w:rsidTr="00431ABC">
        <w:trPr>
          <w:cantSplit/>
        </w:trPr>
        <w:tc>
          <w:tcPr>
            <w:tcW w:w="1253" w:type="dxa"/>
            <w:shd w:val="clear" w:color="auto" w:fill="EAF1DD" w:themeFill="accent3" w:themeFillTint="33"/>
            <w:noWrap/>
            <w:vAlign w:val="center"/>
            <w:hideMark/>
          </w:tcPr>
          <w:p w14:paraId="2B6FF0DA"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0077B3D7" w14:textId="77777777" w:rsidR="000D297E" w:rsidRPr="00376EF3" w:rsidRDefault="000D297E" w:rsidP="000D297E">
            <w:pPr>
              <w:pStyle w:val="ITRCTableTextCentered"/>
              <w:spacing w:before="120" w:after="120"/>
            </w:pPr>
            <w:r w:rsidRPr="00376EF3">
              <w:t>Invertebrate</w:t>
            </w:r>
          </w:p>
        </w:tc>
        <w:tc>
          <w:tcPr>
            <w:tcW w:w="3686" w:type="dxa"/>
            <w:shd w:val="clear" w:color="auto" w:fill="EAF1DD" w:themeFill="accent3" w:themeFillTint="33"/>
            <w:vAlign w:val="center"/>
          </w:tcPr>
          <w:p w14:paraId="0B3AEE04" w14:textId="77777777" w:rsidR="000D297E" w:rsidRPr="00376EF3" w:rsidRDefault="000D297E" w:rsidP="000D297E">
            <w:pPr>
              <w:pStyle w:val="ITRCTableTextCentered"/>
              <w:spacing w:before="120" w:after="120"/>
            </w:pPr>
            <w:proofErr w:type="spellStart"/>
            <w:r w:rsidRPr="00376EF3">
              <w:t>Fatmucket</w:t>
            </w:r>
            <w:proofErr w:type="spellEnd"/>
            <w:r w:rsidRPr="00376EF3">
              <w:t xml:space="preserve"> mussel, </w:t>
            </w:r>
            <w:proofErr w:type="spellStart"/>
            <w:r w:rsidRPr="00A04B65">
              <w:rPr>
                <w:i/>
              </w:rPr>
              <w:t>Lampsilis</w:t>
            </w:r>
            <w:proofErr w:type="spellEnd"/>
            <w:r w:rsidRPr="00A04B65">
              <w:rPr>
                <w:i/>
              </w:rPr>
              <w:t xml:space="preserve"> </w:t>
            </w:r>
            <w:proofErr w:type="spellStart"/>
            <w:r w:rsidRPr="00A04B65">
              <w:rPr>
                <w:i/>
              </w:rPr>
              <w:t>siliquoidea</w:t>
            </w:r>
            <w:proofErr w:type="spellEnd"/>
          </w:p>
        </w:tc>
        <w:tc>
          <w:tcPr>
            <w:tcW w:w="1627" w:type="dxa"/>
            <w:shd w:val="clear" w:color="auto" w:fill="EAF1DD" w:themeFill="accent3" w:themeFillTint="33"/>
            <w:noWrap/>
            <w:vAlign w:val="center"/>
            <w:hideMark/>
          </w:tcPr>
          <w:p w14:paraId="6EC9B7B0" w14:textId="77777777" w:rsidR="000D297E" w:rsidRPr="00376EF3" w:rsidRDefault="000D297E" w:rsidP="000D297E">
            <w:pPr>
              <w:pStyle w:val="ITRCTableTextCentered"/>
              <w:spacing w:before="120" w:after="120"/>
            </w:pPr>
            <w:r w:rsidRPr="00376EF3">
              <w:t>17</w:t>
            </w:r>
          </w:p>
        </w:tc>
        <w:tc>
          <w:tcPr>
            <w:tcW w:w="778" w:type="dxa"/>
            <w:shd w:val="clear" w:color="auto" w:fill="EAF1DD" w:themeFill="accent3" w:themeFillTint="33"/>
            <w:noWrap/>
            <w:vAlign w:val="center"/>
            <w:hideMark/>
          </w:tcPr>
          <w:p w14:paraId="4B98D508" w14:textId="77777777" w:rsidR="000D297E" w:rsidRPr="00376EF3" w:rsidRDefault="000D297E" w:rsidP="000D297E">
            <w:pPr>
              <w:pStyle w:val="ITRCTableTextCentered"/>
              <w:spacing w:before="120" w:after="120"/>
            </w:pPr>
            <w:r w:rsidRPr="00376EF3">
              <w:t>µg/L</w:t>
            </w:r>
          </w:p>
        </w:tc>
        <w:tc>
          <w:tcPr>
            <w:tcW w:w="1123" w:type="dxa"/>
            <w:shd w:val="clear" w:color="auto" w:fill="EAF1DD" w:themeFill="accent3" w:themeFillTint="33"/>
            <w:noWrap/>
            <w:vAlign w:val="center"/>
            <w:hideMark/>
          </w:tcPr>
          <w:p w14:paraId="41318054" w14:textId="77777777" w:rsidR="000D297E" w:rsidRPr="00376EF3" w:rsidRDefault="000D297E" w:rsidP="000D297E">
            <w:pPr>
              <w:pStyle w:val="ITRCTableTextCentered"/>
              <w:spacing w:before="120" w:after="120"/>
            </w:pPr>
            <w:r w:rsidRPr="00376EF3">
              <w:t>28d</w:t>
            </w:r>
          </w:p>
        </w:tc>
        <w:tc>
          <w:tcPr>
            <w:tcW w:w="1282" w:type="dxa"/>
            <w:shd w:val="clear" w:color="auto" w:fill="EAF1DD" w:themeFill="accent3" w:themeFillTint="33"/>
            <w:noWrap/>
            <w:vAlign w:val="center"/>
            <w:hideMark/>
          </w:tcPr>
          <w:p w14:paraId="2314E9FD"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74614FB8" w14:textId="77777777" w:rsidR="000D297E" w:rsidRPr="00376EF3" w:rsidRDefault="000D297E" w:rsidP="00431ABC">
            <w:pPr>
              <w:pStyle w:val="ITRCTableText"/>
              <w:spacing w:before="120" w:after="120"/>
            </w:pPr>
            <w:r>
              <w:fldChar w:fldCharType="begin"/>
            </w:r>
            <w:r>
              <w:instrText xml:space="preserve"> ADDIN ZOTERO_ITEM CSL_CITATION {"citationID":"2E3lMTnE","properties":{"formattedCitation":"(R.S. Prosser et al. 2017)","plainCitation":"(R.S. Prosser et al. 2017)","noteIndex":0},"citationItems":[{"id":10674,"uris":["http://zotero.org/groups/4889498/items/3HJWM5D9"],"itemData":{"id":10674,"type":"article-journal","abstract":"Substituted phenylamines (SPAs) are incorporated into a variety of consumer products (e.g., polymers, lubricants) in order to increase the lifespan of the products by acting as a primary antioxidant. Based on their physicochemical properties, if SPAs were to enter the aquatic environment, they would likely partition into sediment. No studies to date have investigated the effect of sediment-associated SPAs on aquatic organisms. The current study examined the effect of four SPAs (diphenylamine (DPA); N-phenyl1-napthylamine (PNA); N-(1,3-dimethylbutyl)-N’-phenyl-1,4-phenylenediamine (DPPDA); 4,4’-methylene-bis[N-sec-butylaniline] (MBA)) on three different life stages of the freshwater mussel, Lampsilis siliquoidea. The viability of larvae (glochidia) of L. siliquoidea and Lampsilis fasciola was assessed after 48 h of exposure to SPAs in water. The 48-h EC50s for glochidia viability of L. siliquoidea were 5951, 606, 439, and 258 mg/L for DPA, PNA, DPPDA, and MBA, respectively, and 7946, 591, 137, and 47 mg/L, respectively, for L. fasciola. Juvenile (7e15 months) and adult L. siliquoidea were exposed to sediment-associated SPAs for 28 d. LC50s for juvenile mussels were 18, 55, 62, and 109 mg/g dry weight (dw) of sediment for DPA, PNA, DPPDA, and MBA, respectively. Adult mussels were exposed to sub-lethal concentrations of sediment-associated SPAs in order to investigate reactive oxygen species (ROS), lipid peroxidation and total glutathione in the gill, gonad, and digestive gland tissue, and viability and DNA damage in hemocytes. No signiﬁcant concentration-dependent trend in any of these biochemical and cellular endpoints relative to the concentration of sediment-associated SPAs was observed in any tissues. Investigations into the concentration of SPAs in the aquatic environment are required before a conclusion can be made on whether these compounds pose a hazard to the different life stages of freshwater mussels.","container-title":"Environmental Pollution","DOI":"10.1016/j.envpol.2017.05.086","ISSN":"02697491","language":"en","page":"281-289","source":"Crossref","title":"Effect of substituted phenylamine antioxidants on three life stages of the freshwater mussel &lt;i&gt;Lampsilis siliquoidea&lt;/i&gt;","volume":"229","author":[{"family":"Prosser","given":"R.S."},{"family":"Gillis","given":"P.L."},{"family":"Holman","given":"E.A.M."},{"family":"Schissler","given":"D."},{"family":"Ikert","given":"H."},{"family":"Toito","given":"J."},{"family":"Gilroy","given":"E."},{"family":"Campbell","given":"S."},{"family":"Bartlett","given":"A.J."},{"family":"Milani","given":"D."},{"family":"Parrott","given":"J.L."},{"family":"Balakrishnan","given":"V.K."}],"issued":{"date-parts":[["2017",10]]}}}],"schema":"https://github.com/citation-style-language/schema/raw/master/csl-citation.json"} </w:instrText>
            </w:r>
            <w:r>
              <w:fldChar w:fldCharType="separate"/>
            </w:r>
            <w:r w:rsidRPr="001A32AF">
              <w:t>(R.S. Prosser et al. 2017)</w:t>
            </w:r>
            <w:r>
              <w:fldChar w:fldCharType="end"/>
            </w:r>
          </w:p>
        </w:tc>
      </w:tr>
      <w:tr w:rsidR="000D297E" w:rsidRPr="00376EF3" w14:paraId="5C076189" w14:textId="77777777" w:rsidTr="00431ABC">
        <w:trPr>
          <w:cantSplit/>
        </w:trPr>
        <w:tc>
          <w:tcPr>
            <w:tcW w:w="1253" w:type="dxa"/>
            <w:shd w:val="clear" w:color="auto" w:fill="EAF1DD" w:themeFill="accent3" w:themeFillTint="33"/>
            <w:noWrap/>
            <w:vAlign w:val="center"/>
            <w:hideMark/>
          </w:tcPr>
          <w:p w14:paraId="28076425"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3E99A3A0" w14:textId="77777777" w:rsidR="000D297E" w:rsidRPr="00376EF3" w:rsidRDefault="000D297E" w:rsidP="000D297E">
            <w:pPr>
              <w:pStyle w:val="ITRCTableTextCentered"/>
              <w:spacing w:before="120" w:after="120"/>
            </w:pPr>
            <w:r w:rsidRPr="00376EF3">
              <w:t>Invertebrate</w:t>
            </w:r>
          </w:p>
        </w:tc>
        <w:tc>
          <w:tcPr>
            <w:tcW w:w="3686" w:type="dxa"/>
            <w:shd w:val="clear" w:color="auto" w:fill="EAF1DD" w:themeFill="accent3" w:themeFillTint="33"/>
            <w:vAlign w:val="center"/>
          </w:tcPr>
          <w:p w14:paraId="27271635" w14:textId="77777777" w:rsidR="000D297E" w:rsidRPr="00376EF3" w:rsidRDefault="000D297E" w:rsidP="000D297E">
            <w:pPr>
              <w:pStyle w:val="ITRCTableTextCentered"/>
              <w:spacing w:before="120" w:after="120"/>
            </w:pPr>
            <w:proofErr w:type="spellStart"/>
            <w:r w:rsidRPr="00376EF3">
              <w:t>Fatmucket</w:t>
            </w:r>
            <w:proofErr w:type="spellEnd"/>
            <w:r w:rsidRPr="00376EF3">
              <w:t xml:space="preserve"> mussel, </w:t>
            </w:r>
            <w:proofErr w:type="spellStart"/>
            <w:r w:rsidRPr="00A04B65">
              <w:rPr>
                <w:i/>
              </w:rPr>
              <w:t>Lampsilis</w:t>
            </w:r>
            <w:proofErr w:type="spellEnd"/>
            <w:r w:rsidRPr="00A04B65">
              <w:rPr>
                <w:i/>
              </w:rPr>
              <w:t xml:space="preserve"> </w:t>
            </w:r>
            <w:proofErr w:type="spellStart"/>
            <w:r w:rsidRPr="00A04B65">
              <w:rPr>
                <w:i/>
              </w:rPr>
              <w:t>siliquoidea</w:t>
            </w:r>
            <w:proofErr w:type="spellEnd"/>
          </w:p>
        </w:tc>
        <w:tc>
          <w:tcPr>
            <w:tcW w:w="1627" w:type="dxa"/>
            <w:shd w:val="clear" w:color="auto" w:fill="EAF1DD" w:themeFill="accent3" w:themeFillTint="33"/>
            <w:noWrap/>
            <w:vAlign w:val="center"/>
            <w:hideMark/>
          </w:tcPr>
          <w:p w14:paraId="218BA401" w14:textId="77777777" w:rsidR="000D297E" w:rsidRPr="00376EF3" w:rsidRDefault="000D297E" w:rsidP="000D297E">
            <w:pPr>
              <w:pStyle w:val="ITRCTableTextCentered"/>
              <w:spacing w:before="120" w:after="120"/>
            </w:pPr>
            <w:r w:rsidRPr="00376EF3">
              <w:t>188</w:t>
            </w:r>
          </w:p>
        </w:tc>
        <w:tc>
          <w:tcPr>
            <w:tcW w:w="778" w:type="dxa"/>
            <w:shd w:val="clear" w:color="auto" w:fill="EAF1DD" w:themeFill="accent3" w:themeFillTint="33"/>
            <w:noWrap/>
            <w:vAlign w:val="center"/>
            <w:hideMark/>
          </w:tcPr>
          <w:p w14:paraId="051F8F69" w14:textId="77777777" w:rsidR="000D297E" w:rsidRPr="00376EF3" w:rsidRDefault="000D297E" w:rsidP="000D297E">
            <w:pPr>
              <w:pStyle w:val="ITRCTableTextCentered"/>
              <w:spacing w:before="120" w:after="120"/>
            </w:pPr>
            <w:r w:rsidRPr="00376EF3">
              <w:t xml:space="preserve">µg/g </w:t>
            </w:r>
            <w:proofErr w:type="spellStart"/>
            <w:r w:rsidRPr="00376EF3">
              <w:t>dw</w:t>
            </w:r>
            <w:proofErr w:type="spellEnd"/>
          </w:p>
        </w:tc>
        <w:tc>
          <w:tcPr>
            <w:tcW w:w="1123" w:type="dxa"/>
            <w:shd w:val="clear" w:color="auto" w:fill="EAF1DD" w:themeFill="accent3" w:themeFillTint="33"/>
            <w:noWrap/>
            <w:vAlign w:val="center"/>
            <w:hideMark/>
          </w:tcPr>
          <w:p w14:paraId="26CD68D7" w14:textId="77777777" w:rsidR="000D297E" w:rsidRPr="00376EF3" w:rsidRDefault="000D297E" w:rsidP="000D297E">
            <w:pPr>
              <w:pStyle w:val="ITRCTableTextCentered"/>
              <w:spacing w:before="120" w:after="120"/>
            </w:pPr>
            <w:r w:rsidRPr="00376EF3">
              <w:t>14d</w:t>
            </w:r>
          </w:p>
        </w:tc>
        <w:tc>
          <w:tcPr>
            <w:tcW w:w="1282" w:type="dxa"/>
            <w:shd w:val="clear" w:color="auto" w:fill="EAF1DD" w:themeFill="accent3" w:themeFillTint="33"/>
            <w:noWrap/>
            <w:vAlign w:val="center"/>
            <w:hideMark/>
          </w:tcPr>
          <w:p w14:paraId="313BD4B3"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5F5BB3A3" w14:textId="77777777" w:rsidR="000D297E" w:rsidRPr="00376EF3" w:rsidRDefault="000D297E" w:rsidP="00431ABC">
            <w:pPr>
              <w:pStyle w:val="ITRCTableText"/>
              <w:spacing w:before="120" w:after="120"/>
            </w:pPr>
            <w:r>
              <w:fldChar w:fldCharType="begin"/>
            </w:r>
            <w:r>
              <w:instrText xml:space="preserve"> ADDIN ZOTERO_ITEM CSL_CITATION {"citationID":"1fa0QirW","properties":{"formattedCitation":"(R.S. Prosser et al. 2017)","plainCitation":"(R.S. Prosser et al. 2017)","noteIndex":0},"citationItems":[{"id":10674,"uris":["http://zotero.org/groups/4889498/items/3HJWM5D9"],"itemData":{"id":10674,"type":"article-journal","abstract":"Substituted phenylamines (SPAs) are incorporated into a variety of consumer products (e.g., polymers, lubricants) in order to increase the lifespan of the products by acting as a primary antioxidant. Based on their physicochemical properties, if SPAs were to enter the aquatic environment, they would likely partition into sediment. No studies to date have investigated the effect of sediment-associated SPAs on aquatic organisms. The current study examined the effect of four SPAs (diphenylamine (DPA); N-phenyl1-napthylamine (PNA); N-(1,3-dimethylbutyl)-N’-phenyl-1,4-phenylenediamine (DPPDA); 4,4’-methylene-bis[N-sec-butylaniline] (MBA)) on three different life stages of the freshwater mussel, Lampsilis siliquoidea. The viability of larvae (glochidia) of L. siliquoidea and Lampsilis fasciola was assessed after 48 h of exposure to SPAs in water. The 48-h EC50s for glochidia viability of L. siliquoidea were 5951, 606, 439, and 258 mg/L for DPA, PNA, DPPDA, and MBA, respectively, and 7946, 591, 137, and 47 mg/L, respectively, for L. fasciola. Juvenile (7e15 months) and adult L. siliquoidea were exposed to sediment-associated SPAs for 28 d. LC50s for juvenile mussels were 18, 55, 62, and 109 mg/g dry weight (dw) of sediment for DPA, PNA, DPPDA, and MBA, respectively. Adult mussels were exposed to sub-lethal concentrations of sediment-associated SPAs in order to investigate reactive oxygen species (ROS), lipid peroxidation and total glutathione in the gill, gonad, and digestive gland tissue, and viability and DNA damage in hemocytes. No signiﬁcant concentration-dependent trend in any of these biochemical and cellular endpoints relative to the concentration of sediment-associated SPAs was observed in any tissues. Investigations into the concentration of SPAs in the aquatic environment are required before a conclusion can be made on whether these compounds pose a hazard to the different life stages of freshwater mussels.","container-title":"Environmental Pollution","DOI":"10.1016/j.envpol.2017.05.086","ISSN":"02697491","language":"en","page":"281-289","source":"Crossref","title":"Effect of substituted phenylamine antioxidants on three life stages of the freshwater mussel &lt;i&gt;Lampsilis siliquoidea&lt;/i&gt;","volume":"229","author":[{"family":"Prosser","given":"R.S."},{"family":"Gillis","given":"P.L."},{"family":"Holman","given":"E.A.M."},{"family":"Schissler","given":"D."},{"family":"Ikert","given":"H."},{"family":"Toito","given":"J."},{"family":"Gilroy","given":"E."},{"family":"Campbell","given":"S."},{"family":"Bartlett","given":"A.J."},{"family":"Milani","given":"D."},{"family":"Parrott","given":"J.L."},{"family":"Balakrishnan","given":"V.K."}],"issued":{"date-parts":[["2017",10]]}}}],"schema":"https://github.com/citation-style-language/schema/raw/master/csl-citation.json"} </w:instrText>
            </w:r>
            <w:r>
              <w:fldChar w:fldCharType="separate"/>
            </w:r>
            <w:r w:rsidRPr="001A32AF">
              <w:t>(R.S. Prosser et al. 2017)</w:t>
            </w:r>
            <w:r>
              <w:fldChar w:fldCharType="end"/>
            </w:r>
          </w:p>
        </w:tc>
      </w:tr>
      <w:tr w:rsidR="000D297E" w:rsidRPr="00376EF3" w14:paraId="625D6D1E" w14:textId="77777777" w:rsidTr="00431ABC">
        <w:trPr>
          <w:cantSplit/>
        </w:trPr>
        <w:tc>
          <w:tcPr>
            <w:tcW w:w="1253" w:type="dxa"/>
            <w:shd w:val="clear" w:color="auto" w:fill="EAF1DD" w:themeFill="accent3" w:themeFillTint="33"/>
            <w:noWrap/>
            <w:vAlign w:val="center"/>
            <w:hideMark/>
          </w:tcPr>
          <w:p w14:paraId="22359F23"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7E26B76F" w14:textId="77777777" w:rsidR="000D297E" w:rsidRPr="00376EF3" w:rsidRDefault="000D297E" w:rsidP="000D297E">
            <w:pPr>
              <w:pStyle w:val="ITRCTableTextCentered"/>
              <w:spacing w:before="120" w:after="120"/>
            </w:pPr>
            <w:r w:rsidRPr="00376EF3">
              <w:t>Invertebrate</w:t>
            </w:r>
          </w:p>
        </w:tc>
        <w:tc>
          <w:tcPr>
            <w:tcW w:w="3686" w:type="dxa"/>
            <w:shd w:val="clear" w:color="auto" w:fill="EAF1DD" w:themeFill="accent3" w:themeFillTint="33"/>
            <w:vAlign w:val="center"/>
          </w:tcPr>
          <w:p w14:paraId="2E582698" w14:textId="77777777" w:rsidR="000D297E" w:rsidRPr="00376EF3" w:rsidRDefault="000D297E" w:rsidP="000D297E">
            <w:pPr>
              <w:pStyle w:val="ITRCTableTextCentered"/>
              <w:spacing w:before="120" w:after="120"/>
            </w:pPr>
            <w:proofErr w:type="spellStart"/>
            <w:r w:rsidRPr="00376EF3">
              <w:t>Fatmucket</w:t>
            </w:r>
            <w:proofErr w:type="spellEnd"/>
            <w:r w:rsidRPr="00376EF3">
              <w:t xml:space="preserve"> mussel, </w:t>
            </w:r>
            <w:proofErr w:type="spellStart"/>
            <w:r w:rsidRPr="00A04B65">
              <w:rPr>
                <w:i/>
              </w:rPr>
              <w:t>Lampsilis</w:t>
            </w:r>
            <w:proofErr w:type="spellEnd"/>
            <w:r w:rsidRPr="00A04B65">
              <w:rPr>
                <w:i/>
              </w:rPr>
              <w:t xml:space="preserve"> </w:t>
            </w:r>
            <w:proofErr w:type="spellStart"/>
            <w:r w:rsidRPr="00A04B65">
              <w:rPr>
                <w:i/>
              </w:rPr>
              <w:t>siliquoidea</w:t>
            </w:r>
            <w:proofErr w:type="spellEnd"/>
          </w:p>
        </w:tc>
        <w:tc>
          <w:tcPr>
            <w:tcW w:w="1627" w:type="dxa"/>
            <w:shd w:val="clear" w:color="auto" w:fill="EAF1DD" w:themeFill="accent3" w:themeFillTint="33"/>
            <w:noWrap/>
            <w:vAlign w:val="center"/>
            <w:hideMark/>
          </w:tcPr>
          <w:p w14:paraId="06CD6612" w14:textId="77777777" w:rsidR="000D297E" w:rsidRPr="00376EF3" w:rsidRDefault="000D297E" w:rsidP="000D297E">
            <w:pPr>
              <w:pStyle w:val="ITRCTableTextCentered"/>
              <w:spacing w:before="120" w:after="120"/>
            </w:pPr>
            <w:r w:rsidRPr="00376EF3">
              <w:t>62</w:t>
            </w:r>
          </w:p>
        </w:tc>
        <w:tc>
          <w:tcPr>
            <w:tcW w:w="778" w:type="dxa"/>
            <w:shd w:val="clear" w:color="auto" w:fill="EAF1DD" w:themeFill="accent3" w:themeFillTint="33"/>
            <w:noWrap/>
            <w:vAlign w:val="center"/>
            <w:hideMark/>
          </w:tcPr>
          <w:p w14:paraId="10D173A5" w14:textId="77777777" w:rsidR="000D297E" w:rsidRPr="00376EF3" w:rsidRDefault="000D297E" w:rsidP="000D297E">
            <w:pPr>
              <w:pStyle w:val="ITRCTableTextCentered"/>
              <w:spacing w:before="120" w:after="120"/>
            </w:pPr>
            <w:r w:rsidRPr="00376EF3">
              <w:t xml:space="preserve">µg/g </w:t>
            </w:r>
            <w:proofErr w:type="spellStart"/>
            <w:r w:rsidRPr="00376EF3">
              <w:t>dw</w:t>
            </w:r>
            <w:proofErr w:type="spellEnd"/>
          </w:p>
        </w:tc>
        <w:tc>
          <w:tcPr>
            <w:tcW w:w="1123" w:type="dxa"/>
            <w:shd w:val="clear" w:color="auto" w:fill="EAF1DD" w:themeFill="accent3" w:themeFillTint="33"/>
            <w:noWrap/>
            <w:vAlign w:val="center"/>
            <w:hideMark/>
          </w:tcPr>
          <w:p w14:paraId="4E4E2FC5" w14:textId="77777777" w:rsidR="000D297E" w:rsidRPr="00376EF3" w:rsidRDefault="000D297E" w:rsidP="000D297E">
            <w:pPr>
              <w:pStyle w:val="ITRCTableTextCentered"/>
              <w:spacing w:before="120" w:after="120"/>
            </w:pPr>
            <w:r w:rsidRPr="00376EF3">
              <w:t>28d</w:t>
            </w:r>
          </w:p>
        </w:tc>
        <w:tc>
          <w:tcPr>
            <w:tcW w:w="1282" w:type="dxa"/>
            <w:shd w:val="clear" w:color="auto" w:fill="EAF1DD" w:themeFill="accent3" w:themeFillTint="33"/>
            <w:noWrap/>
            <w:vAlign w:val="center"/>
            <w:hideMark/>
          </w:tcPr>
          <w:p w14:paraId="288B8690"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EAF1DD" w:themeFill="accent3" w:themeFillTint="33"/>
            <w:vAlign w:val="center"/>
          </w:tcPr>
          <w:p w14:paraId="0BB60EAB" w14:textId="77777777" w:rsidR="000D297E" w:rsidRPr="00376EF3" w:rsidRDefault="000D297E" w:rsidP="00431ABC">
            <w:pPr>
              <w:pStyle w:val="ITRCTableText"/>
              <w:spacing w:before="120" w:after="120"/>
            </w:pPr>
            <w:r>
              <w:fldChar w:fldCharType="begin"/>
            </w:r>
            <w:r>
              <w:instrText xml:space="preserve"> ADDIN ZOTERO_ITEM CSL_CITATION {"citationID":"yFsLUPux","properties":{"formattedCitation":"(R.S. Prosser et al. 2017)","plainCitation":"(R.S. Prosser et al. 2017)","noteIndex":0},"citationItems":[{"id":10674,"uris":["http://zotero.org/groups/4889498/items/3HJWM5D9"],"itemData":{"id":10674,"type":"article-journal","abstract":"Substituted phenylamines (SPAs) are incorporated into a variety of consumer products (e.g., polymers, lubricants) in order to increase the lifespan of the products by acting as a primary antioxidant. Based on their physicochemical properties, if SPAs were to enter the aquatic environment, they would likely partition into sediment. No studies to date have investigated the effect of sediment-associated SPAs on aquatic organisms. The current study examined the effect of four SPAs (diphenylamine (DPA); N-phenyl1-napthylamine (PNA); N-(1,3-dimethylbutyl)-N’-phenyl-1,4-phenylenediamine (DPPDA); 4,4’-methylene-bis[N-sec-butylaniline] (MBA)) on three different life stages of the freshwater mussel, Lampsilis siliquoidea. The viability of larvae (glochidia) of L. siliquoidea and Lampsilis fasciola was assessed after 48 h of exposure to SPAs in water. The 48-h EC50s for glochidia viability of L. siliquoidea were 5951, 606, 439, and 258 mg/L for DPA, PNA, DPPDA, and MBA, respectively, and 7946, 591, 137, and 47 mg/L, respectively, for L. fasciola. Juvenile (7e15 months) and adult L. siliquoidea were exposed to sediment-associated SPAs for 28 d. LC50s for juvenile mussels were 18, 55, 62, and 109 mg/g dry weight (dw) of sediment for DPA, PNA, DPPDA, and MBA, respectively. Adult mussels were exposed to sub-lethal concentrations of sediment-associated SPAs in order to investigate reactive oxygen species (ROS), lipid peroxidation and total glutathione in the gill, gonad, and digestive gland tissue, and viability and DNA damage in hemocytes. No signiﬁcant concentration-dependent trend in any of these biochemical and cellular endpoints relative to the concentration of sediment-associated SPAs was observed in any tissues. Investigations into the concentration of SPAs in the aquatic environment are required before a conclusion can be made on whether these compounds pose a hazard to the different life stages of freshwater mussels.","container-title":"Environmental Pollution","DOI":"10.1016/j.envpol.2017.05.086","ISSN":"02697491","language":"en","page":"281-289","source":"Crossref","title":"Effect of substituted phenylamine antioxidants on three life stages of the freshwater mussel &lt;i&gt;Lampsilis siliquoidea&lt;/i&gt;","volume":"229","author":[{"family":"Prosser","given":"R.S."},{"family":"Gillis","given":"P.L."},{"family":"Holman","given":"E.A.M."},{"family":"Schissler","given":"D."},{"family":"Ikert","given":"H."},{"family":"Toito","given":"J."},{"family":"Gilroy","given":"E."},{"family":"Campbell","given":"S."},{"family":"Bartlett","given":"A.J."},{"family":"Milani","given":"D."},{"family":"Parrott","given":"J.L."},{"family":"Balakrishnan","given":"V.K."}],"issued":{"date-parts":[["2017",10]]}}}],"schema":"https://github.com/citation-style-language/schema/raw/master/csl-citation.json"} </w:instrText>
            </w:r>
            <w:r>
              <w:fldChar w:fldCharType="separate"/>
            </w:r>
            <w:r w:rsidRPr="001A32AF">
              <w:t>(R.S. Prosser et al. 2017)</w:t>
            </w:r>
            <w:r>
              <w:fldChar w:fldCharType="end"/>
            </w:r>
          </w:p>
        </w:tc>
      </w:tr>
      <w:tr w:rsidR="000D297E" w:rsidRPr="00376EF3" w14:paraId="0F1B46BB" w14:textId="77777777" w:rsidTr="00431ABC">
        <w:trPr>
          <w:cantSplit/>
        </w:trPr>
        <w:tc>
          <w:tcPr>
            <w:tcW w:w="1253" w:type="dxa"/>
            <w:shd w:val="clear" w:color="auto" w:fill="EAF1DD" w:themeFill="accent3" w:themeFillTint="33"/>
            <w:noWrap/>
            <w:vAlign w:val="center"/>
            <w:hideMark/>
          </w:tcPr>
          <w:p w14:paraId="352FFE2D" w14:textId="77777777" w:rsidR="000D297E" w:rsidRPr="00376EF3" w:rsidRDefault="000D297E" w:rsidP="000D297E">
            <w:pPr>
              <w:pStyle w:val="ITRCTableTextCentered"/>
              <w:spacing w:before="120" w:after="120"/>
            </w:pPr>
            <w:r w:rsidRPr="00376EF3">
              <w:t>6PPD</w:t>
            </w:r>
          </w:p>
        </w:tc>
        <w:tc>
          <w:tcPr>
            <w:tcW w:w="1354" w:type="dxa"/>
            <w:shd w:val="clear" w:color="auto" w:fill="EAF1DD" w:themeFill="accent3" w:themeFillTint="33"/>
            <w:vAlign w:val="center"/>
          </w:tcPr>
          <w:p w14:paraId="0D36DBDE" w14:textId="77777777" w:rsidR="000D297E" w:rsidRPr="00376EF3" w:rsidRDefault="000D297E" w:rsidP="000D297E">
            <w:pPr>
              <w:pStyle w:val="ITRCTableTextCentered"/>
              <w:spacing w:before="120" w:after="120"/>
            </w:pPr>
            <w:r w:rsidRPr="00376EF3">
              <w:t>Plant/algae</w:t>
            </w:r>
          </w:p>
        </w:tc>
        <w:tc>
          <w:tcPr>
            <w:tcW w:w="3686" w:type="dxa"/>
            <w:shd w:val="clear" w:color="auto" w:fill="EAF1DD" w:themeFill="accent3" w:themeFillTint="33"/>
            <w:vAlign w:val="center"/>
          </w:tcPr>
          <w:p w14:paraId="0C9D8D1F" w14:textId="77777777" w:rsidR="000D297E" w:rsidRPr="00376EF3" w:rsidRDefault="000D297E" w:rsidP="000D297E">
            <w:pPr>
              <w:pStyle w:val="ITRCTableTextCentered"/>
              <w:spacing w:before="120" w:after="120"/>
            </w:pPr>
            <w:r w:rsidRPr="00376EF3">
              <w:t xml:space="preserve">Algae, </w:t>
            </w:r>
            <w:proofErr w:type="spellStart"/>
            <w:r w:rsidRPr="00A04B65">
              <w:rPr>
                <w:i/>
                <w:iCs/>
              </w:rPr>
              <w:t>Selenastrum</w:t>
            </w:r>
            <w:proofErr w:type="spellEnd"/>
            <w:r w:rsidRPr="00A04B65">
              <w:rPr>
                <w:i/>
                <w:iCs/>
              </w:rPr>
              <w:t xml:space="preserve"> </w:t>
            </w:r>
            <w:proofErr w:type="spellStart"/>
            <w:r w:rsidRPr="00A04B65">
              <w:rPr>
                <w:i/>
                <w:iCs/>
              </w:rPr>
              <w:t>capricornutum</w:t>
            </w:r>
            <w:proofErr w:type="spellEnd"/>
          </w:p>
        </w:tc>
        <w:tc>
          <w:tcPr>
            <w:tcW w:w="1627" w:type="dxa"/>
            <w:shd w:val="clear" w:color="auto" w:fill="EAF1DD" w:themeFill="accent3" w:themeFillTint="33"/>
            <w:noWrap/>
            <w:vAlign w:val="center"/>
            <w:hideMark/>
          </w:tcPr>
          <w:p w14:paraId="133B9DF4" w14:textId="77777777" w:rsidR="000D297E" w:rsidRPr="00376EF3" w:rsidRDefault="000D297E" w:rsidP="000D297E">
            <w:pPr>
              <w:pStyle w:val="ITRCTableTextCentered"/>
              <w:spacing w:before="120" w:after="120"/>
            </w:pPr>
            <w:r w:rsidRPr="00376EF3">
              <w:t>200</w:t>
            </w:r>
          </w:p>
        </w:tc>
        <w:tc>
          <w:tcPr>
            <w:tcW w:w="778" w:type="dxa"/>
            <w:shd w:val="clear" w:color="auto" w:fill="EAF1DD" w:themeFill="accent3" w:themeFillTint="33"/>
            <w:noWrap/>
            <w:vAlign w:val="center"/>
            <w:hideMark/>
          </w:tcPr>
          <w:p w14:paraId="71275C40" w14:textId="77777777" w:rsidR="000D297E" w:rsidRPr="00376EF3" w:rsidRDefault="000D297E" w:rsidP="000D297E">
            <w:pPr>
              <w:pStyle w:val="ITRCTableTextCentered"/>
              <w:spacing w:before="120" w:after="120"/>
            </w:pPr>
            <w:r w:rsidRPr="00376EF3">
              <w:t>µg/L</w:t>
            </w:r>
          </w:p>
        </w:tc>
        <w:tc>
          <w:tcPr>
            <w:tcW w:w="1123" w:type="dxa"/>
            <w:shd w:val="clear" w:color="auto" w:fill="EAF1DD" w:themeFill="accent3" w:themeFillTint="33"/>
            <w:noWrap/>
            <w:vAlign w:val="center"/>
            <w:hideMark/>
          </w:tcPr>
          <w:p w14:paraId="0E0AEF73" w14:textId="77777777" w:rsidR="000D297E" w:rsidRPr="00376EF3" w:rsidRDefault="000D297E" w:rsidP="000D297E">
            <w:pPr>
              <w:pStyle w:val="ITRCTableTextCentered"/>
              <w:spacing w:before="120" w:after="120"/>
            </w:pPr>
            <w:r w:rsidRPr="00376EF3">
              <w:t>96h</w:t>
            </w:r>
          </w:p>
        </w:tc>
        <w:tc>
          <w:tcPr>
            <w:tcW w:w="1282" w:type="dxa"/>
            <w:shd w:val="clear" w:color="auto" w:fill="EAF1DD" w:themeFill="accent3" w:themeFillTint="33"/>
            <w:noWrap/>
            <w:vAlign w:val="center"/>
            <w:hideMark/>
          </w:tcPr>
          <w:p w14:paraId="5490CD57" w14:textId="77777777" w:rsidR="000D297E" w:rsidRPr="00376EF3" w:rsidRDefault="000D297E" w:rsidP="000D297E">
            <w:pPr>
              <w:pStyle w:val="ITRCTableTextCentered"/>
              <w:spacing w:before="120" w:after="120"/>
            </w:pPr>
            <w:r w:rsidRPr="00376EF3">
              <w:t>Cell number</w:t>
            </w:r>
          </w:p>
        </w:tc>
        <w:tc>
          <w:tcPr>
            <w:tcW w:w="2002" w:type="dxa"/>
            <w:gridSpan w:val="2"/>
            <w:shd w:val="clear" w:color="auto" w:fill="EAF1DD" w:themeFill="accent3" w:themeFillTint="33"/>
            <w:vAlign w:val="center"/>
          </w:tcPr>
          <w:p w14:paraId="52227625" w14:textId="48B6EA20" w:rsidR="000D297E" w:rsidRPr="00376EF3" w:rsidRDefault="002403CE" w:rsidP="00431ABC">
            <w:pPr>
              <w:pStyle w:val="ITRCTableText"/>
              <w:spacing w:before="120" w:after="120"/>
            </w:pPr>
            <w:r>
              <w:fldChar w:fldCharType="begin"/>
            </w:r>
            <w:r>
              <w:instrText xml:space="preserve"> ADDIN ZOTERO_ITEM CSL_CITATION {"citationID":"3l7WVJGJ","properties":{"formattedCitation":"(Monsanto Company 1978; OECD 2004)","plainCitation":"(Monsanto Company 1978; OECD 2004)","noteIndex":0},"citationItems":[{"id":2517,"uris":["http://zotero.org/groups/4911552/items/ISU2GNJ8"],"itemData":{"id":2517,"type":"report","number":"Unpublished study No. BN-78-362","title":"Acute Toxicity of Santoflex 13 (BN-78-1384316) to the Freshwater Alga &lt;i&gt;&lt;span class=\"nocase\"&gt;Selenastrum capricornutum&lt;/span&gt;&lt;/i&gt;","author":[{"family":"Monsanto Company","given":""}],"issued":{"date-parts":[["1978"]]}}},{"id":1078,"uris":["http://zotero.org/groups/4911552/items/FCJPCPVW"],"itemData":{"id":1078,"type":"report","title":"SIDS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(OECD)","URL":"https://hpvchemicals.oecd.org/UI/handler.axd?id=5e1a446c-5969-479c-9270-7ced8726952e","author":[{"family":"OECD","given":""}],"issued":{"date-parts":[["2004"]]}}}],"schema":"https://github.com/citation-style-language/schema/raw/master/csl-citation.json"} </w:instrText>
            </w:r>
            <w:r>
              <w:fldChar w:fldCharType="separate"/>
            </w:r>
            <w:r w:rsidRPr="00B51BD3">
              <w:t>(Monsanto Company 1978</w:t>
            </w:r>
            <w:r>
              <w:t>, as cited in</w:t>
            </w:r>
            <w:r w:rsidRPr="00B51BD3">
              <w:t xml:space="preserve"> OECD 2004)</w:t>
            </w:r>
            <w:r>
              <w:fldChar w:fldCharType="end"/>
            </w:r>
          </w:p>
        </w:tc>
      </w:tr>
      <w:tr w:rsidR="000D297E" w:rsidRPr="00376EF3" w14:paraId="11F7ACB4" w14:textId="77777777" w:rsidTr="00431ABC">
        <w:trPr>
          <w:cantSplit/>
        </w:trPr>
        <w:tc>
          <w:tcPr>
            <w:tcW w:w="1253" w:type="dxa"/>
            <w:shd w:val="clear" w:color="auto" w:fill="DBE5F1" w:themeFill="accent1" w:themeFillTint="33"/>
            <w:noWrap/>
            <w:vAlign w:val="center"/>
            <w:hideMark/>
          </w:tcPr>
          <w:p w14:paraId="24752CE2"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3E478F60" w14:textId="77777777" w:rsidR="000D297E" w:rsidRPr="00376EF3" w:rsidRDefault="000D297E" w:rsidP="000D297E">
            <w:pPr>
              <w:pStyle w:val="ITRCTableTextCentered"/>
              <w:spacing w:before="120" w:after="120"/>
            </w:pPr>
            <w:r w:rsidRPr="00376EF3">
              <w:t>Fish</w:t>
            </w:r>
          </w:p>
        </w:tc>
        <w:tc>
          <w:tcPr>
            <w:tcW w:w="3686" w:type="dxa"/>
            <w:shd w:val="clear" w:color="auto" w:fill="DBE5F1" w:themeFill="accent1" w:themeFillTint="33"/>
            <w:vAlign w:val="center"/>
          </w:tcPr>
          <w:p w14:paraId="5A543555" w14:textId="77777777" w:rsidR="000D297E" w:rsidRPr="00376EF3" w:rsidRDefault="000D297E" w:rsidP="000D297E">
            <w:pPr>
              <w:pStyle w:val="ITRCTableTextCentered"/>
              <w:spacing w:before="120" w:after="120"/>
            </w:pPr>
            <w:r w:rsidRPr="00376EF3">
              <w:t xml:space="preserve">Coho salmon, </w:t>
            </w:r>
            <w:r w:rsidRPr="00A04B65">
              <w:rPr>
                <w:i/>
              </w:rPr>
              <w:t>Oncorhynchus kisutch</w:t>
            </w:r>
          </w:p>
        </w:tc>
        <w:tc>
          <w:tcPr>
            <w:tcW w:w="1627" w:type="dxa"/>
            <w:shd w:val="clear" w:color="auto" w:fill="DBE5F1" w:themeFill="accent1" w:themeFillTint="33"/>
            <w:noWrap/>
            <w:vAlign w:val="center"/>
            <w:hideMark/>
          </w:tcPr>
          <w:p w14:paraId="6B8EE773" w14:textId="77777777" w:rsidR="000D297E" w:rsidRPr="00376EF3" w:rsidRDefault="000D297E" w:rsidP="000D297E">
            <w:pPr>
              <w:pStyle w:val="ITRCTableTextCentered"/>
              <w:spacing w:before="120" w:after="120"/>
            </w:pPr>
            <w:r w:rsidRPr="00376EF3">
              <w:t>0.1</w:t>
            </w:r>
          </w:p>
        </w:tc>
        <w:tc>
          <w:tcPr>
            <w:tcW w:w="778" w:type="dxa"/>
            <w:shd w:val="clear" w:color="auto" w:fill="DBE5F1" w:themeFill="accent1" w:themeFillTint="33"/>
            <w:noWrap/>
            <w:vAlign w:val="center"/>
            <w:hideMark/>
          </w:tcPr>
          <w:p w14:paraId="6452245B"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vAlign w:val="center"/>
            <w:hideMark/>
          </w:tcPr>
          <w:p w14:paraId="3E49A162" w14:textId="77777777" w:rsidR="000D297E" w:rsidRPr="00376EF3" w:rsidRDefault="000D297E" w:rsidP="000D297E">
            <w:pPr>
              <w:pStyle w:val="ITRCTableTextCentered"/>
              <w:spacing w:before="120" w:after="120"/>
            </w:pPr>
            <w:r w:rsidRPr="00376EF3">
              <w:t>16d, pulsed exposure for 24h</w:t>
            </w:r>
          </w:p>
        </w:tc>
        <w:tc>
          <w:tcPr>
            <w:tcW w:w="1282" w:type="dxa"/>
            <w:shd w:val="clear" w:color="auto" w:fill="DBE5F1" w:themeFill="accent1" w:themeFillTint="33"/>
            <w:noWrap/>
            <w:vAlign w:val="center"/>
            <w:hideMark/>
          </w:tcPr>
          <w:p w14:paraId="29C0FCC7"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DBE5F1" w:themeFill="accent1" w:themeFillTint="33"/>
            <w:vAlign w:val="center"/>
          </w:tcPr>
          <w:p w14:paraId="6BAE1F67" w14:textId="77777777" w:rsidR="000D297E" w:rsidRPr="00376EF3" w:rsidRDefault="000D297E" w:rsidP="00431ABC">
            <w:pPr>
              <w:pStyle w:val="ITRCTableText"/>
              <w:spacing w:before="120" w:after="120"/>
            </w:pPr>
            <w:r>
              <w:fldChar w:fldCharType="begin"/>
            </w:r>
            <w:r>
              <w:instrText xml:space="preserve"> ADDIN ZOTERO_ITEM CSL_CITATION {"citationID":"qYfKXcuU","properties":{"formattedCitation":"(Greer et al. 2023b)","plainCitation":"(Greer et al. 2023b)","noteIndex":0},"citationItems":[{"id":10621,"uris":["http://zotero.org/groups/4889498/items/D7MYKIV4"],"itemData":{"id":10621,"type":"article-journal","abstract":"Urban stormwater runoff frequently contains the car tire transformation product 6PPD-quinone, which is highly toxic to juvenile and adult coho salmon (Onchorychus kisutch). However, it is currently unclear if embryonic stages are impacted. We addressed this by exposing developing coho salmon embryos starting at the eyed stage to three concentrations of 6PPD-quinone twice weekly until hatch. Impacts on survival and growth were assessed. Further, whole-transcriptome sequencing was performed on recently hatched alevin to address the potential mechanism of 6PPD-quinone-induced toxicity. Acute mortality was not elicited in developing coho salmon embryos at environmentally measured concentrations lethal to juveniles and adults, however, growth was inhibited. Immediately after hatching, coho salmon were sensitive to 6PPD-quinone mortality, implicating a large window of juvenile vulnerability prior to smoltification. Molecularly, 6PPD-quinone induced dose-dependent effects that implicated broad dysregulation of genomic pathways governing cell–cell contacts and endothelial permeability. These pathways are consistent with previous observations of macromolecule accumulation in the brains of coho salmon exposed to 6PPD-quinone, implicating blood–brain barrier disruption as a potential pathway for toxicity. Overall, our data suggests that developing coho salmon exposed to 6PPD-quinone are at risk for adverse health events upon hatching while indicating potential mechanism(s) of action for this highly toxic chemical.","container-title":"Environmental Science &amp; Technology","DOI":"10.1021/acs.est.3c01040","ISSN":"0013-936X","journalAbbreviation":"Environ. Sci. Technol.","note":"publisher: American Chemical Society","source":"ACS Publications","title":"Tire-Derived Transformation Product 6PPD-Quinone Induces Mortality and Transcriptionally Disrupts Vascular Permeability Pathways in Developing Coho Salmon","URL":"https://doi.org/10.1021/acs.est.3c01040","author":[{"family":"Greer","given":"Justin B."},{"family":"Dalsky","given":"Ellie M."},{"family":"Lane","given":"Rachael F."},{"family":"Hansen","given":"John D."}],"accessed":{"date-parts":[["2023",7,24]]},"issued":{"date-parts":[["2023",7,19]]}}}],"schema":"https://github.com/citation-style-language/schema/raw/master/csl-citation.json"} </w:instrText>
            </w:r>
            <w:r>
              <w:fldChar w:fldCharType="separate"/>
            </w:r>
            <w:r w:rsidRPr="00AE38F9">
              <w:t>(Greer et al. 2023b)</w:t>
            </w:r>
            <w:r>
              <w:fldChar w:fldCharType="end"/>
            </w:r>
          </w:p>
        </w:tc>
      </w:tr>
      <w:tr w:rsidR="000D297E" w:rsidRPr="00376EF3" w14:paraId="03AC2AF6" w14:textId="77777777" w:rsidTr="00431ABC">
        <w:trPr>
          <w:cantSplit/>
        </w:trPr>
        <w:tc>
          <w:tcPr>
            <w:tcW w:w="1253" w:type="dxa"/>
            <w:shd w:val="clear" w:color="auto" w:fill="DBE5F1" w:themeFill="accent1" w:themeFillTint="33"/>
            <w:noWrap/>
            <w:vAlign w:val="center"/>
            <w:hideMark/>
          </w:tcPr>
          <w:p w14:paraId="65A939A6"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2815815A" w14:textId="77777777" w:rsidR="000D297E" w:rsidRPr="00376EF3" w:rsidRDefault="000D297E" w:rsidP="000D297E">
            <w:pPr>
              <w:pStyle w:val="ITRCTableTextCentered"/>
              <w:spacing w:before="120" w:after="120"/>
            </w:pPr>
            <w:r w:rsidRPr="00376EF3">
              <w:t>Fish</w:t>
            </w:r>
          </w:p>
        </w:tc>
        <w:tc>
          <w:tcPr>
            <w:tcW w:w="3686" w:type="dxa"/>
            <w:shd w:val="clear" w:color="auto" w:fill="DBE5F1" w:themeFill="accent1" w:themeFillTint="33"/>
            <w:vAlign w:val="center"/>
          </w:tcPr>
          <w:p w14:paraId="5C1030B0" w14:textId="77777777" w:rsidR="000D297E" w:rsidRPr="00376EF3" w:rsidRDefault="000D297E" w:rsidP="000D297E">
            <w:pPr>
              <w:pStyle w:val="ITRCTableTextCentered"/>
              <w:spacing w:before="120" w:after="120"/>
            </w:pPr>
            <w:r w:rsidRPr="00376EF3">
              <w:t xml:space="preserve">Fathead minnow, </w:t>
            </w:r>
            <w:proofErr w:type="spellStart"/>
            <w:r w:rsidRPr="00A04B65">
              <w:rPr>
                <w:i/>
              </w:rPr>
              <w:t>Pimephales</w:t>
            </w:r>
            <w:proofErr w:type="spellEnd"/>
            <w:r w:rsidRPr="00A04B65">
              <w:rPr>
                <w:i/>
              </w:rPr>
              <w:t xml:space="preserve"> </w:t>
            </w:r>
            <w:proofErr w:type="spellStart"/>
            <w:r w:rsidRPr="00A04B65">
              <w:rPr>
                <w:i/>
              </w:rPr>
              <w:t>promelas</w:t>
            </w:r>
            <w:proofErr w:type="spellEnd"/>
          </w:p>
        </w:tc>
        <w:tc>
          <w:tcPr>
            <w:tcW w:w="1627" w:type="dxa"/>
            <w:shd w:val="clear" w:color="auto" w:fill="DBE5F1" w:themeFill="accent1" w:themeFillTint="33"/>
            <w:noWrap/>
            <w:vAlign w:val="center"/>
            <w:hideMark/>
          </w:tcPr>
          <w:p w14:paraId="7428A55A" w14:textId="77777777" w:rsidR="000D297E" w:rsidRPr="00376EF3" w:rsidRDefault="000D297E" w:rsidP="000D297E">
            <w:pPr>
              <w:pStyle w:val="ITRCTableTextCentered"/>
              <w:spacing w:before="120" w:after="120"/>
            </w:pPr>
            <w:r w:rsidRPr="00376EF3">
              <w:t>&gt; 39.27</w:t>
            </w:r>
          </w:p>
        </w:tc>
        <w:tc>
          <w:tcPr>
            <w:tcW w:w="778" w:type="dxa"/>
            <w:shd w:val="clear" w:color="auto" w:fill="DBE5F1" w:themeFill="accent1" w:themeFillTint="33"/>
            <w:noWrap/>
            <w:vAlign w:val="center"/>
            <w:hideMark/>
          </w:tcPr>
          <w:p w14:paraId="565C7098"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33585DA6" w14:textId="77777777" w:rsidR="000D297E" w:rsidRPr="00376EF3" w:rsidRDefault="000D297E" w:rsidP="000D297E">
            <w:pPr>
              <w:pStyle w:val="ITRCTableTextCentered"/>
              <w:spacing w:before="120" w:after="120"/>
            </w:pPr>
            <w:r w:rsidRPr="00376EF3">
              <w:t>7d</w:t>
            </w:r>
          </w:p>
        </w:tc>
        <w:tc>
          <w:tcPr>
            <w:tcW w:w="1282" w:type="dxa"/>
            <w:shd w:val="clear" w:color="auto" w:fill="DBE5F1" w:themeFill="accent1" w:themeFillTint="33"/>
            <w:noWrap/>
            <w:vAlign w:val="center"/>
            <w:hideMark/>
          </w:tcPr>
          <w:p w14:paraId="600D6865"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DBE5F1" w:themeFill="accent1" w:themeFillTint="33"/>
            <w:vAlign w:val="center"/>
          </w:tcPr>
          <w:p w14:paraId="7D6AC247" w14:textId="77777777" w:rsidR="000D297E" w:rsidRPr="00376EF3" w:rsidRDefault="000D297E" w:rsidP="00431ABC">
            <w:pPr>
              <w:pStyle w:val="ITRCTableText"/>
              <w:spacing w:before="120" w:after="120"/>
            </w:pPr>
            <w:r>
              <w:fldChar w:fldCharType="begin"/>
            </w:r>
            <w:r>
              <w:instrText xml:space="preserve"> ADDIN ZOTERO_ITEM CSL_CITATION {"citationID":"MIWHnNDp","properties":{"formattedCitation":"(Anderson-Bain et al. 2023)","plainCitation":"(Anderson-Bain et al. 2023)","noteIndex":0},"citationItems":[{"id":9731,"uris":["http://zotero.org/groups/4911552/items/CKDYPZQ4"],"itemData":{"id":9731,"type":"article-journal","abstract":"N-(1,3-dimethylbutyl)-N′-phenyl-p-phenylenediamine-quinone (6PPD-quinone) is an emerging contaminant of concern that is generated through the environmental oxidation of the rubber tire anti-degradant 6PPD. Since the initial report of 6PPD-quinone being the cause of urban runoff mortality syndrome of Coho salmon, numerous species have been identified as either sensitive or insensitive to acute lethality caused by 6PPD-quinone. In sensitive species, acute lethality might be caused by uncoupling of mitochondrial respiration in gills. However, little is known about effects of 6PPD-quinone on insensitive species. Here we demonstrate that embryos of fathead minnows (Pimephales promelas) are insensitive to exposure to concentrations as great as 39.97 μg/L for 168 h, and adult fathead minnows are insensitive to exposure to concentrations as great as 9.4 μg/L for 96 h. A multi-omics approach using a targeted transcriptomics array, (EcoToxChips), and proton nuclear magnetic resonance (1H NMR) was used to assess responses of the transcriptomes and metabolomes of gills and livers from adult fathead minnows exposed to 6PPD-quinone for 96 h to begin to identify sublethal effects of 6PPD-quinone. There was little agreement between results of the EcoToxChip and metabolomics analyses, likely because genes present on the EcoToxChip were not representative of pathways suggested to be perturbed by metabolomic analysis. Changes in abundances of transcripts and metabolites in livers and gills suggest that disruption of one‑carbon metabolism and induction of oxidative stress might be occurring in gills and livers, but that tissues differ in their sensitivity or responsiveness to 6PPD-quinone. Overall, several pathways impacted by 6PPD-quinone were identified as candidates for future studies of potential sublethal effects of this chemical.","container-title":"Comparative Biochemistry and Physiology Part C: Toxicology &amp; Pharmacology","DOI":"10.1016/j.cbpc.2023.109697","ISSN":"1532-0456","journalAbbreviation":"Comparative Biochemistry and Physiology Part C: Toxicology &amp; Pharmacology","language":"en","page":"109697","source":"ScienceDirect","title":"Apical and mechanistic effects of 6PPD-quinone on different life-stages of the fathead minnow (&lt;i&gt;Pimephales promelas&lt;/i&gt;)","volume":"271","author":[{"family":"Anderson-Bain","given":"Katherine"},{"family":"Roberts","given":"Catherine"},{"family":"Kohlman","given":"Evan"},{"family":"Ji","given":"Xiaowen"},{"family":"Alcaraz","given":"Alper J."},{"family":"Miller","given":"Justin"},{"family":"Gangur-Powell","given":"Tabitha"},{"family":"Weber","given":"Lynn"},{"family":"Janz","given":"David"},{"family":"Hecker","given":"Markus"},{"family":"Montina","given":"Tony"},{"family":"Brinkmann","given":"Markus"},{"family":"Wiseman","given":"Steve"}],"issued":{"date-parts":[["2023",9,1]]}}}],"schema":"https://github.com/citation-style-language/schema/raw/master/csl-citation.json"} </w:instrText>
            </w:r>
            <w:r>
              <w:fldChar w:fldCharType="separate"/>
            </w:r>
            <w:r w:rsidRPr="00F8543A">
              <w:t>(Anderson-Bain et al. 2023)</w:t>
            </w:r>
            <w:r>
              <w:fldChar w:fldCharType="end"/>
            </w:r>
          </w:p>
        </w:tc>
      </w:tr>
      <w:tr w:rsidR="003045E6" w:rsidRPr="00376EF3" w14:paraId="2B510D2D" w14:textId="77777777" w:rsidTr="00431ABC">
        <w:trPr>
          <w:cantSplit/>
        </w:trPr>
        <w:tc>
          <w:tcPr>
            <w:tcW w:w="1253" w:type="dxa"/>
            <w:shd w:val="clear" w:color="auto" w:fill="DBE5F1" w:themeFill="accent1" w:themeFillTint="33"/>
            <w:noWrap/>
            <w:vAlign w:val="center"/>
            <w:hideMark/>
          </w:tcPr>
          <w:p w14:paraId="7EF8DAEF"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2BF3EC2D" w14:textId="77777777" w:rsidR="000D297E" w:rsidRPr="00376EF3" w:rsidRDefault="000D297E" w:rsidP="000D297E">
            <w:pPr>
              <w:pStyle w:val="ITRCTableTextCentered"/>
              <w:spacing w:before="120" w:after="120"/>
            </w:pPr>
            <w:r w:rsidRPr="00376EF3">
              <w:t>Fish</w:t>
            </w:r>
          </w:p>
        </w:tc>
        <w:tc>
          <w:tcPr>
            <w:tcW w:w="3686" w:type="dxa"/>
            <w:shd w:val="clear" w:color="auto" w:fill="DBE5F1" w:themeFill="accent1" w:themeFillTint="33"/>
            <w:vAlign w:val="center"/>
          </w:tcPr>
          <w:p w14:paraId="47B83CCF" w14:textId="77777777" w:rsidR="000D297E" w:rsidRPr="00376EF3" w:rsidRDefault="000D297E" w:rsidP="000D297E">
            <w:pPr>
              <w:pStyle w:val="ITRCTableTextCentered"/>
              <w:spacing w:before="120" w:after="120"/>
            </w:pPr>
            <w:r w:rsidRPr="00376EF3">
              <w:t xml:space="preserve">Lake trout, </w:t>
            </w:r>
            <w:r w:rsidRPr="00A04B65">
              <w:rPr>
                <w:i/>
              </w:rPr>
              <w:t xml:space="preserve">Salvelinus </w:t>
            </w:r>
            <w:proofErr w:type="spellStart"/>
            <w:r w:rsidRPr="00A04B65">
              <w:rPr>
                <w:i/>
              </w:rPr>
              <w:t>namaycush</w:t>
            </w:r>
            <w:proofErr w:type="spellEnd"/>
          </w:p>
        </w:tc>
        <w:tc>
          <w:tcPr>
            <w:tcW w:w="1627" w:type="dxa"/>
            <w:shd w:val="clear" w:color="auto" w:fill="DBE5F1" w:themeFill="accent1" w:themeFillTint="33"/>
            <w:noWrap/>
            <w:vAlign w:val="center"/>
            <w:hideMark/>
          </w:tcPr>
          <w:p w14:paraId="0201AF77" w14:textId="77777777" w:rsidR="000D297E" w:rsidRPr="00376EF3" w:rsidRDefault="000D297E" w:rsidP="000D297E">
            <w:pPr>
              <w:pStyle w:val="ITRCTableTextCentered"/>
              <w:spacing w:before="120" w:after="120"/>
            </w:pPr>
            <w:r w:rsidRPr="00376EF3">
              <w:t>0.33</w:t>
            </w:r>
          </w:p>
        </w:tc>
        <w:tc>
          <w:tcPr>
            <w:tcW w:w="778" w:type="dxa"/>
            <w:shd w:val="clear" w:color="auto" w:fill="DBE5F1" w:themeFill="accent1" w:themeFillTint="33"/>
            <w:noWrap/>
            <w:vAlign w:val="center"/>
            <w:hideMark/>
          </w:tcPr>
          <w:p w14:paraId="15B508AD"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5D1AA147" w14:textId="77777777" w:rsidR="000D297E" w:rsidRPr="00376EF3" w:rsidRDefault="000D297E" w:rsidP="000D297E">
            <w:pPr>
              <w:pStyle w:val="ITRCTableTextCentered"/>
              <w:spacing w:before="120" w:after="120"/>
            </w:pPr>
            <w:r w:rsidRPr="00376EF3">
              <w:t>45d</w:t>
            </w:r>
          </w:p>
        </w:tc>
        <w:tc>
          <w:tcPr>
            <w:tcW w:w="1282" w:type="dxa"/>
            <w:shd w:val="clear" w:color="auto" w:fill="DBE5F1" w:themeFill="accent1" w:themeFillTint="33"/>
            <w:noWrap/>
            <w:vAlign w:val="center"/>
            <w:hideMark/>
          </w:tcPr>
          <w:p w14:paraId="61A9F5C3"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DBE5F1" w:themeFill="accent1" w:themeFillTint="33"/>
            <w:vAlign w:val="center"/>
          </w:tcPr>
          <w:p w14:paraId="504612EE" w14:textId="6F0B9E1E" w:rsidR="000D297E" w:rsidRPr="00C3317D" w:rsidRDefault="000D297E" w:rsidP="00431ABC">
            <w:pPr>
              <w:pStyle w:val="ITRCTableText"/>
              <w:spacing w:before="120" w:after="120"/>
              <w:rPr>
                <w:vertAlign w:val="superscript"/>
              </w:rPr>
            </w:pPr>
            <w:r>
              <w:fldChar w:fldCharType="begin"/>
            </w:r>
            <w:r>
              <w:instrText xml:space="preserve"> ADDIN ZOTERO_ITEM CSL_CITATION {"citationID":"pNpKExWR","properties":{"formattedCitation":"(Roberts et al. 2024)","plainCitation":"(Roberts et al. 2024)","noteIndex":0},"citationItems":[{"id":11609,"uris":["http://zotero.org/groups/4911552/items/FMG8VP7Y"],"itemData":{"id":11609,"type":"article","abstract":"N-(1,3-Dimethylbutyl)-N’-phenyl-p-phenylenediamine-quinone (6PPD-q) is a rubber-tire derivative which leaches into surface waters from roadway runoff, from tire particles and has been identified as a possible driver of urban runoff mortality syndrome in coho salmon. Sensitivity to this toxicant is highly variable across fish species and life stages. With environmental concentrations meeting or exceeding toxicity thresholds in sensitive fishes, the potential for ecologically relevant effects is significant. There is currently no data regarding the sensitivity of lake trout (Salvelinus namaycush) to 6PPD-q. As early-life stages of fishes are typically more sensitive than adults, the goal of these studies was to evaluate the acute and sub-chronic toxicity of 6PPD-q to early-life stage lake trout. Alevins exposed from hatch until 45 days post hatch (dph) to time-weighted average 6PPD-q concentrations ranging from 0.22-13.5 μg/L exhibited a 45-day median lethal dose (LC50) of 0.39 μg/L. Deformities throughout growth were observed, with a unique pooling of blood observed in the caudal fin and eye. A subsequent acute study with exogenously feeding lake trout fry determined a 96-hr LC50 of 0.50 μg/L. From these studies we can conclude that lake trout alevins and exogenously feeding fry are sensitive to 6PPD-q, which underscores the relevance of this chemical to inland freshwater ecosystems.","DOI":"10.1101/2024.03.26.586843","language":"en","license":"© 2024, Posted by Cold Spring Harbor Laboratory. This pre-print is available under a Creative Commons License (Attribution-NonCommercial-NoDerivs 4.0 International), CC BY-NC-ND 4.0, as described at http://creativecommons.org/licenses/by-nc-nd/4.0/","note":"page: 2024.03.26.586843\nsection: New Results","publisher":"bioRxiv","source":"bioRxiv","title":"Acute and sub-chronic toxicity of 6PPD-quinone to early-life stage lake trout (&lt;i&gt;&lt;span class=\"nocase\"&gt;Salvelinus namaycush&lt;/span&gt;&lt;/i&gt;)","URL":"https://www.biorxiv.org/content/10.1101/2024.03.26.586843v2","author":[{"family":"Roberts","given":"Catherine"},{"family":"Lin","given":"Junyi"},{"family":"Kohlman","given":"Evan"},{"family":"Jain","given":"Niteesh"},{"family":"Amekor","given":"Mawuli"},{"family":"Alcaraz","given":"Alper James"},{"family":"Hogan","given":"Natacha"},{"family":"Hecker","given":"Markus"},{"family":"Brinkmann","given":"Markus"}],"accessed":{"date-parts":[["2024",5,27]]},"issued":{"date-parts":[["2024",4,3]]}}}],"schema":"https://github.com/citation-style-language/schema/raw/master/csl-citation.json"} </w:instrText>
            </w:r>
            <w:r>
              <w:fldChar w:fldCharType="separate"/>
            </w:r>
            <w:r w:rsidRPr="00FE1647">
              <w:t>(Roberts et al. 2024)</w:t>
            </w:r>
            <w:r>
              <w:fldChar w:fldCharType="end"/>
            </w:r>
            <w:r w:rsidR="00C3317D">
              <w:rPr>
                <w:vertAlign w:val="superscript"/>
              </w:rPr>
              <w:t>**</w:t>
            </w:r>
          </w:p>
        </w:tc>
      </w:tr>
      <w:tr w:rsidR="003045E6" w:rsidRPr="00376EF3" w14:paraId="575E0D24" w14:textId="77777777" w:rsidTr="00431ABC">
        <w:trPr>
          <w:cantSplit/>
        </w:trPr>
        <w:tc>
          <w:tcPr>
            <w:tcW w:w="1253" w:type="dxa"/>
            <w:shd w:val="clear" w:color="auto" w:fill="DBE5F1" w:themeFill="accent1" w:themeFillTint="33"/>
            <w:noWrap/>
            <w:vAlign w:val="center"/>
            <w:hideMark/>
          </w:tcPr>
          <w:p w14:paraId="5F735395"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665A6BF8" w14:textId="77777777" w:rsidR="000D297E" w:rsidRPr="00376EF3" w:rsidRDefault="000D297E" w:rsidP="000D297E">
            <w:pPr>
              <w:pStyle w:val="ITRCTableTextCentered"/>
              <w:spacing w:before="120" w:after="120"/>
            </w:pPr>
            <w:r w:rsidRPr="00376EF3">
              <w:t>Fish</w:t>
            </w:r>
          </w:p>
        </w:tc>
        <w:tc>
          <w:tcPr>
            <w:tcW w:w="3686" w:type="dxa"/>
            <w:shd w:val="clear" w:color="auto" w:fill="DBE5F1" w:themeFill="accent1" w:themeFillTint="33"/>
            <w:vAlign w:val="center"/>
          </w:tcPr>
          <w:p w14:paraId="35ECF810" w14:textId="77777777" w:rsidR="000D297E" w:rsidRPr="00376EF3" w:rsidRDefault="000D297E" w:rsidP="000D297E">
            <w:pPr>
              <w:pStyle w:val="ITRCTableTextCentered"/>
              <w:spacing w:before="120" w:after="120"/>
            </w:pPr>
            <w:r w:rsidRPr="00376EF3">
              <w:t xml:space="preserve">Rainbow trout, </w:t>
            </w:r>
            <w:r w:rsidRPr="00A04B65">
              <w:rPr>
                <w:i/>
              </w:rPr>
              <w:t>Oncorhynchus mykiss</w:t>
            </w:r>
          </w:p>
        </w:tc>
        <w:tc>
          <w:tcPr>
            <w:tcW w:w="1627" w:type="dxa"/>
            <w:shd w:val="clear" w:color="auto" w:fill="DBE5F1" w:themeFill="accent1" w:themeFillTint="33"/>
            <w:noWrap/>
            <w:vAlign w:val="center"/>
            <w:hideMark/>
          </w:tcPr>
          <w:p w14:paraId="5EF55806" w14:textId="77777777" w:rsidR="000D297E" w:rsidRPr="00376EF3" w:rsidRDefault="000D297E" w:rsidP="000D297E">
            <w:pPr>
              <w:pStyle w:val="ITRCTableTextCentered"/>
              <w:spacing w:before="120" w:after="120"/>
            </w:pPr>
            <w:r w:rsidRPr="00376EF3">
              <w:t>0.56</w:t>
            </w:r>
          </w:p>
        </w:tc>
        <w:tc>
          <w:tcPr>
            <w:tcW w:w="778" w:type="dxa"/>
            <w:shd w:val="clear" w:color="auto" w:fill="DBE5F1" w:themeFill="accent1" w:themeFillTint="33"/>
            <w:noWrap/>
            <w:vAlign w:val="center"/>
            <w:hideMark/>
          </w:tcPr>
          <w:p w14:paraId="053ED2B2"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5625BB72" w14:textId="77777777" w:rsidR="000D297E" w:rsidRPr="00376EF3" w:rsidRDefault="000D297E" w:rsidP="000D297E">
            <w:pPr>
              <w:pStyle w:val="ITRCTableTextCentered"/>
              <w:spacing w:before="120" w:after="120"/>
            </w:pPr>
            <w:r w:rsidRPr="00376EF3">
              <w:t>28d</w:t>
            </w:r>
          </w:p>
        </w:tc>
        <w:tc>
          <w:tcPr>
            <w:tcW w:w="1282" w:type="dxa"/>
            <w:shd w:val="clear" w:color="auto" w:fill="DBE5F1" w:themeFill="accent1" w:themeFillTint="33"/>
            <w:noWrap/>
            <w:vAlign w:val="center"/>
            <w:hideMark/>
          </w:tcPr>
          <w:p w14:paraId="0094FAE1"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DBE5F1" w:themeFill="accent1" w:themeFillTint="33"/>
            <w:vAlign w:val="center"/>
          </w:tcPr>
          <w:p w14:paraId="6E6943E1" w14:textId="78F27201" w:rsidR="000D297E" w:rsidRPr="00376EF3" w:rsidRDefault="000D297E" w:rsidP="00431ABC">
            <w:pPr>
              <w:pStyle w:val="ITRCTableText"/>
              <w:spacing w:before="120" w:after="120"/>
            </w:pPr>
            <w:r>
              <w:fldChar w:fldCharType="begin"/>
            </w:r>
            <w:r>
              <w:instrText xml:space="preserve"> ADDIN ZOTERO_ITEM CSL_CITATION {"citationID":"qY6wIMTS","properties":{"formattedCitation":"(Roberts et al. 2024)","plainCitation":"(Roberts et al. 2024)","noteIndex":0},"citationItems":[{"id":11609,"uris":["http://zotero.org/groups/4911552/items/FMG8VP7Y"],"itemData":{"id":11609,"type":"article","abstract":"N-(1,3-Dimethylbutyl)-N’-phenyl-p-phenylenediamine-quinone (6PPD-q) is a rubber-tire derivative which leaches into surface waters from roadway runoff, from tire particles and has been identified as a possible driver of urban runoff mortality syndrome in coho salmon. Sensitivity to this toxicant is highly variable across fish species and life stages. With environmental concentrations meeting or exceeding toxicity thresholds in sensitive fishes, the potential for ecologically relevant effects is significant. There is currently no data regarding the sensitivity of lake trout (Salvelinus namaycush) to 6PPD-q. As early-life stages of fishes are typically more sensitive than adults, the goal of these studies was to evaluate the acute and sub-chronic toxicity of 6PPD-q to early-life stage lake trout. Alevins exposed from hatch until 45 days post hatch (dph) to time-weighted average 6PPD-q concentrations ranging from 0.22-13.5 μg/L exhibited a 45-day median lethal dose (LC50) of 0.39 μg/L. Deformities throughout growth were observed, with a unique pooling of blood observed in the caudal fin and eye. A subsequent acute study with exogenously feeding lake trout fry determined a 96-hr LC50 of 0.50 μg/L. From these studies we can conclude that lake trout alevins and exogenously feeding fry are sensitive to 6PPD-q, which underscores the relevance of this chemical to inland freshwater ecosystems.","DOI":"10.1101/2024.03.26.586843","language":"en","license":"© 2024, Posted by Cold Spring Harbor Laboratory. This pre-print is available under a Creative Commons License (Attribution-NonCommercial-NoDerivs 4.0 International), CC BY-NC-ND 4.0, as described at http://creativecommons.org/licenses/by-nc-nd/4.0/","note":"page: 2024.03.26.586843\nsection: New Results","publisher":"bioRxiv","source":"bioRxiv","title":"Acute and sub-chronic toxicity of 6PPD-quinone to early-life stage lake trout (&lt;i&gt;&lt;span class=\"nocase\"&gt;Salvelinus namaycush&lt;/span&gt;&lt;/i&gt;)","URL":"https://www.biorxiv.org/content/10.1101/2024.03.26.586843v2","author":[{"family":"Roberts","given":"Catherine"},{"family":"Lin","given":"Junyi"},{"family":"Kohlman","given":"Evan"},{"family":"Jain","given":"Niteesh"},{"family":"Amekor","given":"Mawuli"},{"family":"Alcaraz","given":"Alper James"},{"family":"Hogan","given":"Natacha"},{"family":"Hecker","given":"Markus"},{"family":"Brinkmann","given":"Markus"}],"accessed":{"date-parts":[["2024",5,27]]},"issued":{"date-parts":[["2024",4,3]]}}}],"schema":"https://github.com/citation-style-language/schema/raw/master/csl-citation.json"} </w:instrText>
            </w:r>
            <w:r>
              <w:fldChar w:fldCharType="separate"/>
            </w:r>
            <w:r w:rsidRPr="00FE1647">
              <w:t>(Roberts et al. 2024)</w:t>
            </w:r>
            <w:r>
              <w:fldChar w:fldCharType="end"/>
            </w:r>
            <w:r w:rsidR="00C3317D">
              <w:rPr>
                <w:vertAlign w:val="superscript"/>
              </w:rPr>
              <w:t>**</w:t>
            </w:r>
          </w:p>
        </w:tc>
      </w:tr>
      <w:tr w:rsidR="000D297E" w:rsidRPr="00376EF3" w14:paraId="15A9AF9C" w14:textId="77777777" w:rsidTr="00431ABC">
        <w:trPr>
          <w:cantSplit/>
        </w:trPr>
        <w:tc>
          <w:tcPr>
            <w:tcW w:w="1253" w:type="dxa"/>
            <w:shd w:val="clear" w:color="auto" w:fill="DBE5F1" w:themeFill="accent1" w:themeFillTint="33"/>
            <w:noWrap/>
            <w:vAlign w:val="center"/>
            <w:hideMark/>
          </w:tcPr>
          <w:p w14:paraId="4E2B13F1"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65A8D3AC" w14:textId="77777777" w:rsidR="000D297E" w:rsidRPr="00376EF3" w:rsidRDefault="000D297E" w:rsidP="000D297E">
            <w:pPr>
              <w:pStyle w:val="ITRCTableTextCentered"/>
              <w:spacing w:before="120" w:after="120"/>
            </w:pPr>
            <w:r w:rsidRPr="00376EF3">
              <w:t>Invertebrate</w:t>
            </w:r>
          </w:p>
        </w:tc>
        <w:tc>
          <w:tcPr>
            <w:tcW w:w="3686" w:type="dxa"/>
            <w:shd w:val="clear" w:color="auto" w:fill="DBE5F1" w:themeFill="accent1" w:themeFillTint="33"/>
            <w:vAlign w:val="center"/>
          </w:tcPr>
          <w:p w14:paraId="18CD667F" w14:textId="77777777" w:rsidR="000D297E" w:rsidRPr="00376EF3" w:rsidRDefault="000D297E" w:rsidP="000D297E">
            <w:pPr>
              <w:pStyle w:val="ITRCTableTextCentered"/>
              <w:spacing w:before="120" w:after="120"/>
            </w:pPr>
            <w:r w:rsidRPr="00376EF3">
              <w:t xml:space="preserve">File ramshorn snail, </w:t>
            </w:r>
            <w:proofErr w:type="spellStart"/>
            <w:r w:rsidRPr="00A04B65">
              <w:rPr>
                <w:i/>
              </w:rPr>
              <w:t>Planorbella</w:t>
            </w:r>
            <w:proofErr w:type="spellEnd"/>
            <w:r w:rsidRPr="00A04B65">
              <w:rPr>
                <w:i/>
              </w:rPr>
              <w:t xml:space="preserve"> </w:t>
            </w:r>
            <w:proofErr w:type="spellStart"/>
            <w:r w:rsidRPr="00A04B65">
              <w:rPr>
                <w:i/>
              </w:rPr>
              <w:t>pilsbryi</w:t>
            </w:r>
            <w:proofErr w:type="spellEnd"/>
          </w:p>
        </w:tc>
        <w:tc>
          <w:tcPr>
            <w:tcW w:w="1627" w:type="dxa"/>
            <w:shd w:val="clear" w:color="auto" w:fill="DBE5F1" w:themeFill="accent1" w:themeFillTint="33"/>
            <w:noWrap/>
            <w:vAlign w:val="center"/>
            <w:hideMark/>
          </w:tcPr>
          <w:p w14:paraId="1AE1D707" w14:textId="77777777" w:rsidR="000D297E" w:rsidRPr="00376EF3" w:rsidRDefault="000D297E" w:rsidP="000D297E">
            <w:pPr>
              <w:pStyle w:val="ITRCTableTextCentered"/>
              <w:spacing w:before="120" w:after="120"/>
            </w:pPr>
            <w:r w:rsidRPr="00376EF3">
              <w:t>&gt; 11.7</w:t>
            </w:r>
          </w:p>
        </w:tc>
        <w:tc>
          <w:tcPr>
            <w:tcW w:w="778" w:type="dxa"/>
            <w:shd w:val="clear" w:color="auto" w:fill="DBE5F1" w:themeFill="accent1" w:themeFillTint="33"/>
            <w:noWrap/>
            <w:vAlign w:val="center"/>
            <w:hideMark/>
          </w:tcPr>
          <w:p w14:paraId="6502E68E"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3B53CC93" w14:textId="77777777" w:rsidR="000D297E" w:rsidRPr="00376EF3" w:rsidRDefault="000D297E" w:rsidP="000D297E">
            <w:pPr>
              <w:pStyle w:val="ITRCTableTextCentered"/>
              <w:spacing w:before="120" w:after="120"/>
            </w:pPr>
            <w:r w:rsidRPr="00376EF3">
              <w:t>10d</w:t>
            </w:r>
          </w:p>
        </w:tc>
        <w:tc>
          <w:tcPr>
            <w:tcW w:w="1282" w:type="dxa"/>
            <w:shd w:val="clear" w:color="auto" w:fill="DBE5F1" w:themeFill="accent1" w:themeFillTint="33"/>
            <w:vAlign w:val="center"/>
            <w:hideMark/>
          </w:tcPr>
          <w:p w14:paraId="18DBE7F7" w14:textId="77777777" w:rsidR="000D297E" w:rsidRPr="00376EF3" w:rsidRDefault="000D297E" w:rsidP="000D297E">
            <w:pPr>
              <w:pStyle w:val="ITRCTableTextCentered"/>
              <w:spacing w:before="120" w:after="120"/>
            </w:pPr>
            <w:r w:rsidRPr="00376EF3">
              <w:t>Mortality and hatching</w:t>
            </w:r>
          </w:p>
        </w:tc>
        <w:tc>
          <w:tcPr>
            <w:tcW w:w="2002" w:type="dxa"/>
            <w:gridSpan w:val="2"/>
            <w:shd w:val="clear" w:color="auto" w:fill="DBE5F1" w:themeFill="accent1" w:themeFillTint="33"/>
            <w:vAlign w:val="center"/>
          </w:tcPr>
          <w:p w14:paraId="475EA9EC" w14:textId="77777777" w:rsidR="000D297E" w:rsidRPr="00376EF3" w:rsidRDefault="000D297E" w:rsidP="00431ABC">
            <w:pPr>
              <w:pStyle w:val="ITRCTableText"/>
              <w:spacing w:before="120" w:after="120"/>
            </w:pPr>
            <w:r>
              <w:fldChar w:fldCharType="begin"/>
            </w:r>
            <w:r>
              <w:instrText xml:space="preserve"> ADDIN ZOTERO_ITEM CSL_CITATION {"citationID":"fr7IbGd0","properties":{"formattedCitation":"(R. S. Prosser, Salole, and Hang 2023)","plainCitation":"(R. S. Prosser, Salole, and Hang 2023)","noteIndex":0},"citationItems":[{"id":10670,"uris":["http://zotero.org/groups/4889498/items/KWG8VJVK"],"itemData":{"id":10670,"type":"article-journal","abstract":"The antioxidant N-(1,3-Dimethylbutyl)-N′-phenyl-p- phenylenediamine (6PPD) is used to protect the rubber in tires from oxidation, which extends the life of the tire. When oxidized, 6PPD is transformed into 6PPD-quinone (6PPDQ). 6PPDQ, along with other tire ingredients, can enter aquatic ecosystems through the transport of tire wear particles in runoff during a precipitation event. The mass mortality of coho salmon following precipitation events in urban areas lead to the discovery that 6PPDQ is the likely cause due to coho salmon's relatively high sensitivity to 6PPDQ. The assessment of 6PPDQ toxicity to other aquatic species has expanded, but it has focused on fish. This study investigated the toxicity of 6PPDQ to four freshwater invertebrate species, larval burrowing mayfly (Hexagenia spp.), juvenile cladoceran (Daphnia magna), file ramshorn snail embryo (Planorbella pilsbryi), and adult washboard mussel (Megalonaias nervosa). For all four species, the highest concentration of 6PPDQ tested did not result in significant mortality. This translated into the determination of the highest concentration that did not cause significant mortality (NOEC) for Hexagenia spp., D. magna, P. pilsbryi, and M. nervosa of 232.0, 42.0, 11.7, and 17.9 μg/L, respectively. The data from this study indicate that freshwater invertebrates are not as sensitive to 6PPDQ as some salmonid species (e.g., coho salmon Oncorhynchus kisutch). This study also analyzed 6PPDQ in road runoff from around the city of Guelph in Ontario, Canada. 6PPQ was detected in all samples but the concentration was two orders of magnitude lower than the NOECs for the four tested species of freshwater invertebrate.","container-title":"Environmental Pollution","DOI":"10.1016/j.envpol.2023.122512","ISSN":"0269-7491","journalAbbreviation":"Environmental Pollution","page":"122512","source":"ScienceDirect","title":"Toxicity of 6PPD-quinone to four freshwater invertebrate species","author":[{"family":"Prosser","given":"R. S."},{"family":"Salole","given":"J."},{"family":"Hang","given":"S."}],"issued":{"date-parts":[["2023",9,4]]}}}],"schema":"https://github.com/citation-style-language/schema/raw/master/csl-citation.json"} </w:instrText>
            </w:r>
            <w:r>
              <w:fldChar w:fldCharType="separate"/>
            </w:r>
            <w:r w:rsidRPr="00F8543A">
              <w:t>(R. S. Prosser, Salole, and Hang 2023)</w:t>
            </w:r>
            <w:r>
              <w:fldChar w:fldCharType="end"/>
            </w:r>
          </w:p>
        </w:tc>
      </w:tr>
      <w:tr w:rsidR="000D297E" w:rsidRPr="00376EF3" w14:paraId="752DC893" w14:textId="77777777" w:rsidTr="00431ABC">
        <w:trPr>
          <w:cantSplit/>
        </w:trPr>
        <w:tc>
          <w:tcPr>
            <w:tcW w:w="1253" w:type="dxa"/>
            <w:shd w:val="clear" w:color="auto" w:fill="DBE5F1" w:themeFill="accent1" w:themeFillTint="33"/>
            <w:noWrap/>
            <w:vAlign w:val="center"/>
            <w:hideMark/>
          </w:tcPr>
          <w:p w14:paraId="29C2A43A"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2B231386" w14:textId="77777777" w:rsidR="000D297E" w:rsidRPr="00376EF3" w:rsidRDefault="000D297E" w:rsidP="000D297E">
            <w:pPr>
              <w:pStyle w:val="ITRCTableTextCentered"/>
              <w:spacing w:before="120" w:after="120"/>
            </w:pPr>
            <w:r w:rsidRPr="00376EF3">
              <w:t>Invertebrate</w:t>
            </w:r>
          </w:p>
        </w:tc>
        <w:tc>
          <w:tcPr>
            <w:tcW w:w="3686" w:type="dxa"/>
            <w:shd w:val="clear" w:color="auto" w:fill="DBE5F1" w:themeFill="accent1" w:themeFillTint="33"/>
            <w:vAlign w:val="center"/>
          </w:tcPr>
          <w:p w14:paraId="7BB0B5F8" w14:textId="77777777" w:rsidR="000D297E" w:rsidRPr="00376EF3" w:rsidRDefault="000D297E" w:rsidP="000D297E">
            <w:pPr>
              <w:pStyle w:val="ITRCTableTextCentered"/>
              <w:spacing w:before="120" w:after="120"/>
            </w:pPr>
            <w:r w:rsidRPr="00376EF3">
              <w:t xml:space="preserve">Freshwater rotifer, </w:t>
            </w:r>
            <w:proofErr w:type="spellStart"/>
            <w:r w:rsidRPr="00A04B65">
              <w:rPr>
                <w:i/>
              </w:rPr>
              <w:t>Brachionus</w:t>
            </w:r>
            <w:proofErr w:type="spellEnd"/>
            <w:r w:rsidRPr="00A04B65">
              <w:rPr>
                <w:i/>
              </w:rPr>
              <w:t xml:space="preserve"> </w:t>
            </w:r>
            <w:proofErr w:type="spellStart"/>
            <w:r w:rsidRPr="00A04B65">
              <w:rPr>
                <w:i/>
              </w:rPr>
              <w:t>calyciflorus</w:t>
            </w:r>
            <w:proofErr w:type="spellEnd"/>
          </w:p>
        </w:tc>
        <w:tc>
          <w:tcPr>
            <w:tcW w:w="1627" w:type="dxa"/>
            <w:shd w:val="clear" w:color="auto" w:fill="DBE5F1" w:themeFill="accent1" w:themeFillTint="33"/>
            <w:noWrap/>
            <w:vAlign w:val="center"/>
            <w:hideMark/>
          </w:tcPr>
          <w:p w14:paraId="4541F76F" w14:textId="77777777" w:rsidR="000D297E" w:rsidRPr="00376EF3" w:rsidRDefault="000D297E" w:rsidP="000D297E">
            <w:pPr>
              <w:pStyle w:val="ITRCTableTextCentered"/>
              <w:spacing w:before="120" w:after="120"/>
            </w:pPr>
            <w:r w:rsidRPr="00376EF3">
              <w:t>&gt; 1</w:t>
            </w:r>
            <w:r>
              <w:t>,</w:t>
            </w:r>
            <w:r w:rsidRPr="00376EF3">
              <w:t>000</w:t>
            </w:r>
          </w:p>
        </w:tc>
        <w:tc>
          <w:tcPr>
            <w:tcW w:w="778" w:type="dxa"/>
            <w:shd w:val="clear" w:color="auto" w:fill="DBE5F1" w:themeFill="accent1" w:themeFillTint="33"/>
            <w:noWrap/>
            <w:vAlign w:val="center"/>
            <w:hideMark/>
          </w:tcPr>
          <w:p w14:paraId="0EBE3F69"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339349B4" w14:textId="77777777" w:rsidR="000D297E" w:rsidRPr="00376EF3" w:rsidRDefault="000D297E" w:rsidP="000D297E">
            <w:pPr>
              <w:pStyle w:val="ITRCTableTextCentered"/>
              <w:spacing w:before="120" w:after="120"/>
            </w:pPr>
            <w:r w:rsidRPr="00376EF3">
              <w:t>12d</w:t>
            </w:r>
          </w:p>
        </w:tc>
        <w:tc>
          <w:tcPr>
            <w:tcW w:w="1282" w:type="dxa"/>
            <w:shd w:val="clear" w:color="auto" w:fill="DBE5F1" w:themeFill="accent1" w:themeFillTint="33"/>
            <w:noWrap/>
            <w:vAlign w:val="center"/>
            <w:hideMark/>
          </w:tcPr>
          <w:p w14:paraId="347F5ED3"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DBE5F1" w:themeFill="accent1" w:themeFillTint="33"/>
            <w:vAlign w:val="center"/>
          </w:tcPr>
          <w:p w14:paraId="156595BA" w14:textId="77777777" w:rsidR="000D297E" w:rsidRPr="00376EF3" w:rsidRDefault="000D297E" w:rsidP="00431ABC">
            <w:pPr>
              <w:pStyle w:val="ITRCTableText"/>
              <w:spacing w:before="120" w:after="120"/>
            </w:pPr>
            <w:r>
              <w:fldChar w:fldCharType="begin"/>
            </w:r>
            <w:r>
              <w:instrText xml:space="preserve"> ADDIN ZOTERO_ITEM CSL_CITATION {"citationID":"1s3ZFZuu","properties":{"formattedCitation":"(Klauschies and Isanta-Navarro 2022)","plainCitation":"(Klauschies and Isanta-Navarro 2022)","noteIndex":0},"citationItems":[{"id":9956,"uris":["http://zotero.org/groups/4911552/items/B9C96GRR"],"itemData":{"id":9956,"type":"article-journal","abstract":"Using sodium chloride (NaCl) for de-icing roads is known to have severe consequences on freshwater organisms when washed into water bodies. N-(1,3-dimethylbutyl)-N′-phenyl-p-phenylenediamine, also known as 6PPD, is an antiozonant mainly found in automobile tire rubber to prevent ozone mediated cracking or wear-out. Especially the ozonated derivate, 6PPD-quinone, which is washed into streams after storm events, has been found to be toxic for coho salmon. Studies on other freshwater organisms could not conﬁrm those ﬁndings, pointing towards distinct species-speciﬁc differences. Storm events result in greater run-offs from all water-soluble contaminants into freshwater bodies, potentially enhancing the concentrations of both chloride and 6PPD during winter. Here we show that these two contaminants have synergistic negative effects on the population growth of the rotifer Brachionus calyciﬂorus, a common freshwater herbivore. Hence, while only high concentrations of 6PPD and even higher concentrations of 6PPD-quinone, beyond environmentally relevant concentrations, had lethal effects on rotifers, the addition of NaCl enhanced the sensitivity of the rotifers towards the application of 6PPD so that their negative effects were more pronounced at lower concentrations. Similarly, 6PPD increased the lethal effect of NaCl. Our results support the species-speciﬁc toxicity of 6PPD and demonstrate a synergistic effect of the antiozonant on the toxicity of other environmentally relevant stressors, such as road salt contamination.","container-title":"Science of the Total Environment","DOI":"10.1016/j.scitotenv.2022.154675","ISSN":"00489697","journalAbbreviation":"Science of the Total Environment","language":"en","page":"154675","source":"DOI.org (Crossref)","title":"The joint effects of salt and 6PPD contamination on a freshwater herbivore","volume":"829","author":[{"family":"Klauschies","given":"Toni"},{"family":"Isanta-Navarro","given":"Jana"}],"issued":{"date-parts":[["2022",7]]}}}],"schema":"https://github.com/citation-style-language/schema/raw/master/csl-citation.json"} </w:instrText>
            </w:r>
            <w:r>
              <w:fldChar w:fldCharType="separate"/>
            </w:r>
            <w:r w:rsidRPr="00FE1647">
              <w:t>(Klauschies and Isanta-Navarro 2022)</w:t>
            </w:r>
            <w:r>
              <w:fldChar w:fldCharType="end"/>
            </w:r>
          </w:p>
        </w:tc>
      </w:tr>
      <w:tr w:rsidR="000D297E" w:rsidRPr="00376EF3" w14:paraId="597C4927" w14:textId="77777777" w:rsidTr="00431ABC">
        <w:trPr>
          <w:cantSplit/>
        </w:trPr>
        <w:tc>
          <w:tcPr>
            <w:tcW w:w="1253" w:type="dxa"/>
            <w:shd w:val="clear" w:color="auto" w:fill="DBE5F1" w:themeFill="accent1" w:themeFillTint="33"/>
            <w:noWrap/>
            <w:vAlign w:val="center"/>
            <w:hideMark/>
          </w:tcPr>
          <w:p w14:paraId="78749E98"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2CF51C57" w14:textId="77777777" w:rsidR="000D297E" w:rsidRPr="00376EF3" w:rsidRDefault="000D297E" w:rsidP="000D297E">
            <w:pPr>
              <w:pStyle w:val="ITRCTableTextCentered"/>
              <w:spacing w:before="120" w:after="120"/>
            </w:pPr>
            <w:r w:rsidRPr="00376EF3">
              <w:t>Invertebrate</w:t>
            </w:r>
          </w:p>
        </w:tc>
        <w:tc>
          <w:tcPr>
            <w:tcW w:w="3686" w:type="dxa"/>
            <w:shd w:val="clear" w:color="auto" w:fill="DBE5F1" w:themeFill="accent1" w:themeFillTint="33"/>
            <w:vAlign w:val="center"/>
          </w:tcPr>
          <w:p w14:paraId="524CF777" w14:textId="77777777" w:rsidR="000D297E" w:rsidRPr="00376EF3" w:rsidRDefault="000D297E" w:rsidP="000D297E">
            <w:pPr>
              <w:pStyle w:val="ITRCTableTextCentered"/>
              <w:spacing w:before="120" w:after="120"/>
            </w:pPr>
            <w:r w:rsidRPr="00376EF3">
              <w:t xml:space="preserve">Marine rotifer, </w:t>
            </w:r>
            <w:proofErr w:type="spellStart"/>
            <w:r w:rsidRPr="00A04B65">
              <w:rPr>
                <w:i/>
              </w:rPr>
              <w:t>Brachionus</w:t>
            </w:r>
            <w:proofErr w:type="spellEnd"/>
            <w:r w:rsidRPr="00A04B65">
              <w:rPr>
                <w:i/>
              </w:rPr>
              <w:t xml:space="preserve"> </w:t>
            </w:r>
            <w:proofErr w:type="spellStart"/>
            <w:r w:rsidRPr="00A04B65">
              <w:rPr>
                <w:i/>
              </w:rPr>
              <w:t>koreanus</w:t>
            </w:r>
            <w:proofErr w:type="spellEnd"/>
          </w:p>
        </w:tc>
        <w:tc>
          <w:tcPr>
            <w:tcW w:w="1627" w:type="dxa"/>
            <w:shd w:val="clear" w:color="auto" w:fill="DBE5F1" w:themeFill="accent1" w:themeFillTint="33"/>
            <w:noWrap/>
            <w:vAlign w:val="center"/>
            <w:hideMark/>
          </w:tcPr>
          <w:p w14:paraId="6DBE8378" w14:textId="77777777" w:rsidR="000D297E" w:rsidRPr="00376EF3" w:rsidRDefault="000D297E" w:rsidP="000D297E">
            <w:pPr>
              <w:pStyle w:val="ITRCTableTextCentered"/>
              <w:spacing w:before="120" w:after="120"/>
            </w:pPr>
            <w:r w:rsidRPr="00376EF3">
              <w:t>&gt; 1</w:t>
            </w:r>
            <w:r>
              <w:t>,</w:t>
            </w:r>
            <w:r w:rsidRPr="00376EF3">
              <w:t>000</w:t>
            </w:r>
          </w:p>
        </w:tc>
        <w:tc>
          <w:tcPr>
            <w:tcW w:w="778" w:type="dxa"/>
            <w:shd w:val="clear" w:color="auto" w:fill="DBE5F1" w:themeFill="accent1" w:themeFillTint="33"/>
            <w:noWrap/>
            <w:vAlign w:val="center"/>
            <w:hideMark/>
          </w:tcPr>
          <w:p w14:paraId="40C67A5F"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19515805" w14:textId="77777777" w:rsidR="000D297E" w:rsidRPr="00376EF3" w:rsidRDefault="000D297E" w:rsidP="000D297E">
            <w:pPr>
              <w:pStyle w:val="ITRCTableTextCentered"/>
              <w:spacing w:before="120" w:after="120"/>
            </w:pPr>
            <w:r w:rsidRPr="00376EF3">
              <w:t>24h</w:t>
            </w:r>
          </w:p>
        </w:tc>
        <w:tc>
          <w:tcPr>
            <w:tcW w:w="1282" w:type="dxa"/>
            <w:shd w:val="clear" w:color="auto" w:fill="DBE5F1" w:themeFill="accent1" w:themeFillTint="33"/>
            <w:noWrap/>
            <w:vAlign w:val="center"/>
            <w:hideMark/>
          </w:tcPr>
          <w:p w14:paraId="60AA728F" w14:textId="77777777" w:rsidR="000D297E" w:rsidRPr="00376EF3" w:rsidRDefault="000D297E" w:rsidP="000D297E">
            <w:pPr>
              <w:pStyle w:val="ITRCTableTextCentered"/>
              <w:spacing w:before="120" w:after="120"/>
            </w:pPr>
            <w:r w:rsidRPr="00376EF3">
              <w:t>Fecundity</w:t>
            </w:r>
          </w:p>
        </w:tc>
        <w:tc>
          <w:tcPr>
            <w:tcW w:w="2002" w:type="dxa"/>
            <w:gridSpan w:val="2"/>
            <w:shd w:val="clear" w:color="auto" w:fill="DBE5F1" w:themeFill="accent1" w:themeFillTint="33"/>
            <w:vAlign w:val="center"/>
          </w:tcPr>
          <w:p w14:paraId="05F9C161" w14:textId="77777777" w:rsidR="000D297E" w:rsidRPr="00376EF3" w:rsidRDefault="000D297E" w:rsidP="00431ABC">
            <w:pPr>
              <w:pStyle w:val="ITRCTableText"/>
              <w:spacing w:before="120" w:after="120"/>
            </w:pPr>
            <w:r>
              <w:fldChar w:fldCharType="begin"/>
            </w:r>
            <w:r>
              <w:instrText xml:space="preserve"> ADDIN ZOTERO_ITEM CSL_CITATION {"citationID":"zeQsQnCg","properties":{"formattedCitation":"(Maji et al. 2023)","plainCitation":"(Maji et al. 2023)","noteIndex":0},"citationItems":[{"id":9705,"uris":["http://zotero.org/groups/4911552/items/D8QNSW4K"],"itemData":{"id":9705,"type":"article-journal","abstract":"The ingredients of tire-rubber products include a complex range of chemicals additives, most of which are leached into surrounding water as unmeasured toxicants with unexplored ecotoxicological impacts. The present study summarizes the reported species-specific acute toxicity of N-(1,3-dimethylbutyl)-N'-phenyl-p-phenylenediamine-quinone (6PPD-Q), the ozonation product of anti-oxidant 6PPD used in tire rubber. Also, chronic toxicity and oxidative response of 6PPD-Q and another tire-rubber derivative, 2',2'''-dithiobisbenzanilide (DTBBA), in rotifer Brachionus koreanus were investigated. Although 6PPD-Q has been reported to be highly toxic to several species of salmonids, only moderate chronic toxicity was observed in B. koreanus. In contrast, DTBBA significantly retarded the population growth and fecundity. The varying toxicity of 6PPD-Q and DTBBA was linked to the level of reactive oxygen species in which DTBBA exposure caused a significant concentration-dependent increase. Our results imply unanticipated risks to aquatic species posed by chemical additives in tire-rubber which may be considered emerging contaminants of toxicological concern.","container-title":"Marine Pollution Bulletin","DOI":"10.1016/j.marpolbul.2023.115002","ISSN":"1879-3363","journalAbbreviation":"Mar Pollut Bull","language":"eng","note":"PMID: 37182240","page":"115002","source":"PubMed","title":"Toxicological effects of tire rubber–derived 6PPD-quinone, a species-specific toxicant, and dithiobisbenzanilide (DTBBA) in the marine rotifer &lt;i&gt;&lt;span class=\"nocase\"&gt;Brachionus koreanus&lt;/span&gt;&lt;/i&gt;","volume":"192","author":[{"family":"Maji","given":"Usha Jyoti"},{"family":"Kim","given":"Kyuhyeong"},{"family":"Yeo","given":"In-Cheol"},{"family":"Shim","given":"Kyu-Young"},{"family":"Jeong","given":"Chang-Bum"}],"issued":{"date-parts":[["2023",7]]}}}],"schema":"https://github.com/citation-style-language/schema/raw/master/csl-citation.json"} </w:instrText>
            </w:r>
            <w:r>
              <w:fldChar w:fldCharType="separate"/>
            </w:r>
            <w:r w:rsidRPr="00F8543A">
              <w:t>(Maji et al. 2023)</w:t>
            </w:r>
            <w:r>
              <w:fldChar w:fldCharType="end"/>
            </w:r>
          </w:p>
        </w:tc>
      </w:tr>
      <w:tr w:rsidR="000D297E" w:rsidRPr="00376EF3" w14:paraId="2378461E" w14:textId="77777777" w:rsidTr="00431ABC">
        <w:trPr>
          <w:cantSplit/>
        </w:trPr>
        <w:tc>
          <w:tcPr>
            <w:tcW w:w="1253" w:type="dxa"/>
            <w:shd w:val="clear" w:color="auto" w:fill="DBE5F1" w:themeFill="accent1" w:themeFillTint="33"/>
            <w:noWrap/>
            <w:vAlign w:val="center"/>
            <w:hideMark/>
          </w:tcPr>
          <w:p w14:paraId="100F4FBD"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3672AEB9" w14:textId="77777777" w:rsidR="000D297E" w:rsidRPr="00376EF3" w:rsidRDefault="000D297E" w:rsidP="000D297E">
            <w:pPr>
              <w:pStyle w:val="ITRCTableTextCentered"/>
              <w:spacing w:before="120" w:after="120"/>
            </w:pPr>
            <w:r w:rsidRPr="00376EF3">
              <w:t>Invertebrate</w:t>
            </w:r>
          </w:p>
        </w:tc>
        <w:tc>
          <w:tcPr>
            <w:tcW w:w="3686" w:type="dxa"/>
            <w:shd w:val="clear" w:color="auto" w:fill="DBE5F1" w:themeFill="accent1" w:themeFillTint="33"/>
            <w:vAlign w:val="center"/>
          </w:tcPr>
          <w:p w14:paraId="68A5B75C" w14:textId="77777777" w:rsidR="000D297E" w:rsidRPr="00376EF3" w:rsidRDefault="000D297E" w:rsidP="000D297E">
            <w:pPr>
              <w:pStyle w:val="ITRCTableTextCentered"/>
              <w:spacing w:before="120" w:after="120"/>
            </w:pPr>
            <w:r w:rsidRPr="00376EF3">
              <w:t xml:space="preserve">Nematode, </w:t>
            </w:r>
            <w:r w:rsidRPr="00A04B65">
              <w:rPr>
                <w:i/>
              </w:rPr>
              <w:t>Caenorhabditis elegans</w:t>
            </w:r>
          </w:p>
        </w:tc>
        <w:tc>
          <w:tcPr>
            <w:tcW w:w="1627" w:type="dxa"/>
            <w:shd w:val="clear" w:color="auto" w:fill="DBE5F1" w:themeFill="accent1" w:themeFillTint="33"/>
            <w:noWrap/>
            <w:vAlign w:val="center"/>
            <w:hideMark/>
          </w:tcPr>
          <w:p w14:paraId="3878418E" w14:textId="77777777" w:rsidR="000D297E" w:rsidRPr="00376EF3" w:rsidRDefault="000D297E" w:rsidP="000D297E">
            <w:pPr>
              <w:pStyle w:val="ITRCTableTextCentered"/>
              <w:spacing w:before="120" w:after="120"/>
            </w:pPr>
            <w:r w:rsidRPr="00376EF3">
              <w:t>10</w:t>
            </w:r>
          </w:p>
        </w:tc>
        <w:tc>
          <w:tcPr>
            <w:tcW w:w="778" w:type="dxa"/>
            <w:shd w:val="clear" w:color="auto" w:fill="DBE5F1" w:themeFill="accent1" w:themeFillTint="33"/>
            <w:noWrap/>
            <w:vAlign w:val="center"/>
            <w:hideMark/>
          </w:tcPr>
          <w:p w14:paraId="7877A519"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210598FC" w14:textId="77777777" w:rsidR="000D297E" w:rsidRPr="00376EF3" w:rsidRDefault="000D297E" w:rsidP="000D297E">
            <w:pPr>
              <w:pStyle w:val="ITRCTableTextCentered"/>
              <w:spacing w:before="120" w:after="120"/>
            </w:pPr>
            <w:r w:rsidRPr="00376EF3">
              <w:t>4.5 d</w:t>
            </w:r>
          </w:p>
        </w:tc>
        <w:tc>
          <w:tcPr>
            <w:tcW w:w="1282" w:type="dxa"/>
            <w:shd w:val="clear" w:color="auto" w:fill="DBE5F1" w:themeFill="accent1" w:themeFillTint="33"/>
            <w:noWrap/>
            <w:vAlign w:val="center"/>
            <w:hideMark/>
          </w:tcPr>
          <w:p w14:paraId="6ECABA69"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DBE5F1" w:themeFill="accent1" w:themeFillTint="33"/>
            <w:vAlign w:val="center"/>
          </w:tcPr>
          <w:p w14:paraId="725E3731" w14:textId="77777777" w:rsidR="000D297E" w:rsidRPr="00376EF3" w:rsidRDefault="000D297E" w:rsidP="00431ABC">
            <w:pPr>
              <w:pStyle w:val="ITRCTableText"/>
              <w:spacing w:before="120" w:after="120"/>
            </w:pPr>
            <w:r>
              <w:fldChar w:fldCharType="begin"/>
            </w:r>
            <w:r>
              <w:instrText xml:space="preserve"> ADDIN ZOTERO_ITEM CSL_CITATION {"citationID":"jaTpQ1nz","properties":{"formattedCitation":"(Hua et al. 2023c)","plainCitation":"(Hua et al. 2023c)","noteIndex":0},"citationItems":[{"id":10488,"uris":["http://zotero.org/groups/4889498/items/Q83EGBAS"],"itemData":{"id":10488,"type":"article-journal","abstract":"2-((4-Methylpentan-2-yl)amino)-5-(phenylamino)cyclohexa-2,5-diene-1,4-dione (6-PPDQ) is the ozonation product of 6-PPD, a commonly used tire preservative. Although the 6-PPDQ has been frequently detected in different environmental ecosystems, its long-term effects on organisms remain still largely unknown. We here used Caenorhabditis elegans as an experimental animal to investigate the toxic effect of prolonged exposure to 6-PPDQ (0.1–100 μg/L). After the exposure, we found that 100 μg/L 6-PPDQ caused the lethality. We further selected concentrations of 0.1–10 μg/L to examine the possible intestinal toxicity induced by 6-PPDQ. Although 0.1–10 μg/L 6-PPDQ could not influence intestinal morphology, the intestinal permeability was significantly enhanced by 1–10 μg/L 6-PPDQ as indicated by erioglaucine disodium staining. In addition, the expression of intestinal fatty acid transporter ACS-22 governing functional state of intestinal barrier was decreased by exposure to 1–10 μg/L 6-PPDQ. Meanwhile, intestinal reactive oxygen species (ROS) production was induced by 0.1–10 μg/L 6-PPDQ and lipofuscin accumulation reflected by intestinal autofluorescence was activated by 1–10 μg/L 6-PPDQ. Accompanied with activation of intestinal oxidative stress, expressions of some anti-oxidation related genes (ctl-2, sod-2, sod-3, and sod-4) were significantly increased by 0.1–10 μg/L 6-PPDQ. Moreover, intestinal RNAi of acs-22 strengthened the susceptibility of nematodes to intestinal toxicity of 6-PPDQ. Therefore, considering that the environmentally relevant concentrations of 6-PPDQ were ≤10 μg/L, our data suggested that long-term exposure to 6-PPDQ at environmentally relevant concentrations potentially results in intestinal toxicity by disrupting functional state of intestinal barrier in organisms.","container-title":"Science of The Total Environment","DOI":"10.1016/j.scitotenv.2022.160591","ISSN":"0048-9697","journalAbbreviation":"Science of The Total Environment","language":"en","page":"160591","source":"ScienceDirect","title":"Long-term exposure to tire-derived 6-PPD quinone causes intestinal toxicity by affecting functional state of intestinal barrier in Caenorhabditis elegans","volume":"861","author":[{"family":"Hua","given":"Xin"},{"family":"Feng","given":"Xiao"},{"family":"Liang","given":"Geyu"},{"family":"Chao","given":"Jie"},{"family":"Wang","given":"Dayong"}],"issued":{"date-parts":[["2023",2,25]]}}}],"schema":"https://github.com/citation-style-language/schema/raw/master/csl-citation.json"} </w:instrText>
            </w:r>
            <w:r>
              <w:fldChar w:fldCharType="separate"/>
            </w:r>
            <w:r w:rsidRPr="00461295">
              <w:t>(Hua et al. 2023c)</w:t>
            </w:r>
            <w:r>
              <w:fldChar w:fldCharType="end"/>
            </w:r>
          </w:p>
        </w:tc>
      </w:tr>
      <w:tr w:rsidR="000D297E" w:rsidRPr="00376EF3" w14:paraId="7CA1F830" w14:textId="77777777" w:rsidTr="00431ABC">
        <w:trPr>
          <w:cantSplit/>
        </w:trPr>
        <w:tc>
          <w:tcPr>
            <w:tcW w:w="1253" w:type="dxa"/>
            <w:shd w:val="clear" w:color="auto" w:fill="DBE5F1" w:themeFill="accent1" w:themeFillTint="33"/>
            <w:noWrap/>
            <w:vAlign w:val="center"/>
            <w:hideMark/>
          </w:tcPr>
          <w:p w14:paraId="5826B55A"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60083055" w14:textId="77777777" w:rsidR="000D297E" w:rsidRPr="00376EF3" w:rsidRDefault="000D297E" w:rsidP="000D297E">
            <w:pPr>
              <w:pStyle w:val="ITRCTableTextCentered"/>
              <w:spacing w:before="120" w:after="120"/>
            </w:pPr>
            <w:r w:rsidRPr="00376EF3">
              <w:t>Invertebrate</w:t>
            </w:r>
          </w:p>
        </w:tc>
        <w:tc>
          <w:tcPr>
            <w:tcW w:w="3686" w:type="dxa"/>
            <w:shd w:val="clear" w:color="auto" w:fill="DBE5F1" w:themeFill="accent1" w:themeFillTint="33"/>
            <w:vAlign w:val="center"/>
          </w:tcPr>
          <w:p w14:paraId="353329A3" w14:textId="77777777" w:rsidR="000D297E" w:rsidRPr="00376EF3" w:rsidRDefault="000D297E" w:rsidP="000D297E">
            <w:pPr>
              <w:pStyle w:val="ITRCTableTextCentered"/>
              <w:spacing w:before="120" w:after="120"/>
            </w:pPr>
            <w:r w:rsidRPr="00376EF3">
              <w:t xml:space="preserve">Nematode, </w:t>
            </w:r>
            <w:r w:rsidRPr="00A04B65">
              <w:rPr>
                <w:i/>
              </w:rPr>
              <w:t>Caenorhabditis elegans</w:t>
            </w:r>
          </w:p>
        </w:tc>
        <w:tc>
          <w:tcPr>
            <w:tcW w:w="1627" w:type="dxa"/>
            <w:shd w:val="clear" w:color="auto" w:fill="DBE5F1" w:themeFill="accent1" w:themeFillTint="33"/>
            <w:noWrap/>
            <w:vAlign w:val="center"/>
            <w:hideMark/>
          </w:tcPr>
          <w:p w14:paraId="06D11641" w14:textId="77777777" w:rsidR="000D297E" w:rsidRPr="00376EF3" w:rsidRDefault="000D297E" w:rsidP="000D297E">
            <w:pPr>
              <w:pStyle w:val="ITRCTableTextCentered"/>
              <w:spacing w:before="120" w:after="120"/>
            </w:pPr>
            <w:r w:rsidRPr="00376EF3">
              <w:t>1</w:t>
            </w:r>
          </w:p>
        </w:tc>
        <w:tc>
          <w:tcPr>
            <w:tcW w:w="778" w:type="dxa"/>
            <w:shd w:val="clear" w:color="auto" w:fill="DBE5F1" w:themeFill="accent1" w:themeFillTint="33"/>
            <w:noWrap/>
            <w:vAlign w:val="center"/>
            <w:hideMark/>
          </w:tcPr>
          <w:p w14:paraId="1E4F6C65"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67FE1BAE" w14:textId="77777777" w:rsidR="000D297E" w:rsidRPr="00376EF3" w:rsidRDefault="000D297E" w:rsidP="000D297E">
            <w:pPr>
              <w:pStyle w:val="ITRCTableTextCentered"/>
              <w:spacing w:before="120" w:after="120"/>
            </w:pPr>
            <w:r w:rsidRPr="00376EF3">
              <w:t>4.5 d</w:t>
            </w:r>
          </w:p>
        </w:tc>
        <w:tc>
          <w:tcPr>
            <w:tcW w:w="1282" w:type="dxa"/>
            <w:shd w:val="clear" w:color="auto" w:fill="DBE5F1" w:themeFill="accent1" w:themeFillTint="33"/>
            <w:noWrap/>
            <w:vAlign w:val="center"/>
            <w:hideMark/>
          </w:tcPr>
          <w:p w14:paraId="1A78DCDF" w14:textId="77777777" w:rsidR="000D297E" w:rsidRPr="00376EF3" w:rsidRDefault="000D297E" w:rsidP="000D297E">
            <w:pPr>
              <w:pStyle w:val="ITRCTableTextCentered"/>
              <w:spacing w:before="120" w:after="120"/>
            </w:pPr>
            <w:r w:rsidRPr="00376EF3">
              <w:t>Paralysis</w:t>
            </w:r>
          </w:p>
        </w:tc>
        <w:tc>
          <w:tcPr>
            <w:tcW w:w="2002" w:type="dxa"/>
            <w:gridSpan w:val="2"/>
            <w:shd w:val="clear" w:color="auto" w:fill="DBE5F1" w:themeFill="accent1" w:themeFillTint="33"/>
            <w:vAlign w:val="center"/>
          </w:tcPr>
          <w:p w14:paraId="29BE17C0" w14:textId="77777777" w:rsidR="000D297E" w:rsidRPr="00376EF3" w:rsidRDefault="000D297E" w:rsidP="00431ABC">
            <w:pPr>
              <w:pStyle w:val="ITRCTableText"/>
              <w:spacing w:before="120" w:after="120"/>
            </w:pPr>
            <w:r>
              <w:fldChar w:fldCharType="begin"/>
            </w:r>
            <w:r>
              <w:instrText xml:space="preserve"> ADDIN ZOTERO_ITEM CSL_CITATION {"citationID":"AZwk5BoC","properties":{"formattedCitation":"(Hua et al. 2023a)","plainCitation":"(Hua et al. 2023a)","noteIndex":0},"citationItems":[{"id":9761,"uris":["http://zotero.org/groups/4911552/items/LJTX7EWE"],"itemData":{"id":9761,"type":"article-journal","abstract":"6-PPD quinone (6-PPDQ) can be transformed from 6-PPD through ozonation. Nevertheless, the potential neurotoxicity of 6-PPDQ after long-term exposure and the underlying mechanism are largely unclear. In Caenorhabditis elegans, we here observed that 0.1–10 μg/L of 6-PPDQ caused several forms of abnormal locomotion behaviors. Meanwhile, the neurodegeneration of D-type motor neurons was observed in 10 μg/L of 6-PPDQ-exposed nematodes. The observed neurodegeneration was associated with the activation of the Ca2+ channel DEG-3-mediated signaling cascade. In this signaling cascade, expressions of deg-3, unc-68, itr-1, crt-1, clp-1, and tra-3 were increased by 10 μg/L of 6-PPDQ. Moreover, among genes encoding neuronal signals required for the control of stress response, expressions of jnk-1 and dbl-1 were decreased by 0.1–10 μg/L of 6-PPDQ, and expressions of daf-7 and glb-10 were decreased by 10 μg/L of 6-PPDQ. RNAi of jnk-1, dbl-1, daf-7, and glb-10 resulted in the susceptibility to 6-PPDQ toxicity in decreasing locomotory ability and in inducing neurodegeneration, suggesting that JNK-1, DBL-1, DAF-7, and GLB-10 were also required for the induction of 6-PPDQ neurotoxicity. Molecular docking analysis further demonstrated the binding potential of 6-PPDQ to DEG-3, JNK-1, DBL-1, DAF-7, and GLB-10. Together, our data suggested the exposure risk of 6-PPDQ at environmentally relevant concentrations in causing neurotoxicity in organisms.","container-title":"Environmental Science &amp; Technology","DOI":"10.1021/acs.est.2c08644","ISSN":"0013-936X","journalAbbreviation":"Environ. Sci. Technol.","note":"publisher: American Chemical Society","source":"ACS Publications","title":"Exposure to 6-PPD Quinone at Environmentally Relevant Concentrations Causes Abnormal Locomotion Behaviors and Neurodegeneration in &lt;i&gt;&lt;span class=\"nocase\"&gt;Caenorhabditis elegans&lt;/span&gt;&lt;/i&gt;","URL":"https://doi.org/10.1021/acs.est.2c08644","author":[{"family":"Hua","given":"Xin"},{"family":"Feng","given":"Xiao"},{"family":"Liang","given":"Geyu"},{"family":"Chao","given":"Jie"},{"family":"Wang","given":"Dayong"}],"accessed":{"date-parts":[["2023",3,20]]},"issued":{"date-parts":[["2023",3,13]]}}}],"schema":"https://github.com/citation-style-language/schema/raw/master/csl-citation.json"} </w:instrText>
            </w:r>
            <w:r>
              <w:fldChar w:fldCharType="separate"/>
            </w:r>
            <w:r w:rsidRPr="00461295">
              <w:t>(Hua et al. 2023a)</w:t>
            </w:r>
            <w:r>
              <w:fldChar w:fldCharType="end"/>
            </w:r>
          </w:p>
        </w:tc>
      </w:tr>
      <w:tr w:rsidR="000D297E" w:rsidRPr="00376EF3" w14:paraId="2076E332" w14:textId="77777777" w:rsidTr="00431ABC">
        <w:trPr>
          <w:cantSplit/>
        </w:trPr>
        <w:tc>
          <w:tcPr>
            <w:tcW w:w="1253" w:type="dxa"/>
            <w:shd w:val="clear" w:color="auto" w:fill="DBE5F1" w:themeFill="accent1" w:themeFillTint="33"/>
            <w:noWrap/>
            <w:vAlign w:val="center"/>
            <w:hideMark/>
          </w:tcPr>
          <w:p w14:paraId="6CBB48AA"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67DF8C14" w14:textId="77777777" w:rsidR="000D297E" w:rsidRPr="00376EF3" w:rsidRDefault="000D297E" w:rsidP="000D297E">
            <w:pPr>
              <w:pStyle w:val="ITRCTableTextCentered"/>
              <w:spacing w:before="120" w:after="120"/>
            </w:pPr>
            <w:r w:rsidRPr="00376EF3">
              <w:t>Invertebrate</w:t>
            </w:r>
          </w:p>
        </w:tc>
        <w:tc>
          <w:tcPr>
            <w:tcW w:w="3686" w:type="dxa"/>
            <w:shd w:val="clear" w:color="auto" w:fill="DBE5F1" w:themeFill="accent1" w:themeFillTint="33"/>
            <w:vAlign w:val="center"/>
          </w:tcPr>
          <w:p w14:paraId="060DD1E2" w14:textId="77777777" w:rsidR="000D297E" w:rsidRPr="00376EF3" w:rsidRDefault="000D297E" w:rsidP="000D297E">
            <w:pPr>
              <w:pStyle w:val="ITRCTableTextCentered"/>
              <w:spacing w:before="120" w:after="120"/>
            </w:pPr>
            <w:r w:rsidRPr="00376EF3">
              <w:t xml:space="preserve">Nematode, </w:t>
            </w:r>
            <w:r w:rsidRPr="00A04B65">
              <w:rPr>
                <w:i/>
              </w:rPr>
              <w:t>Caenorhabditis elegans</w:t>
            </w:r>
          </w:p>
        </w:tc>
        <w:tc>
          <w:tcPr>
            <w:tcW w:w="1627" w:type="dxa"/>
            <w:shd w:val="clear" w:color="auto" w:fill="DBE5F1" w:themeFill="accent1" w:themeFillTint="33"/>
            <w:noWrap/>
            <w:vAlign w:val="center"/>
            <w:hideMark/>
          </w:tcPr>
          <w:p w14:paraId="5B396CD1" w14:textId="77777777" w:rsidR="000D297E" w:rsidRPr="00376EF3" w:rsidRDefault="000D297E" w:rsidP="000D297E">
            <w:pPr>
              <w:pStyle w:val="ITRCTableTextCentered"/>
              <w:spacing w:before="120" w:after="120"/>
            </w:pPr>
            <w:r w:rsidRPr="00376EF3">
              <w:t>0.1</w:t>
            </w:r>
          </w:p>
        </w:tc>
        <w:tc>
          <w:tcPr>
            <w:tcW w:w="778" w:type="dxa"/>
            <w:shd w:val="clear" w:color="auto" w:fill="DBE5F1" w:themeFill="accent1" w:themeFillTint="33"/>
            <w:noWrap/>
            <w:vAlign w:val="center"/>
            <w:hideMark/>
          </w:tcPr>
          <w:p w14:paraId="45108416"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25A82AFE" w14:textId="77777777" w:rsidR="000D297E" w:rsidRPr="00376EF3" w:rsidRDefault="000D297E" w:rsidP="000D297E">
            <w:pPr>
              <w:pStyle w:val="ITRCTableTextCentered"/>
              <w:spacing w:before="120" w:after="120"/>
            </w:pPr>
            <w:r w:rsidRPr="00376EF3">
              <w:t>4.5 d</w:t>
            </w:r>
          </w:p>
        </w:tc>
        <w:tc>
          <w:tcPr>
            <w:tcW w:w="1282" w:type="dxa"/>
            <w:shd w:val="clear" w:color="auto" w:fill="DBE5F1" w:themeFill="accent1" w:themeFillTint="33"/>
            <w:noWrap/>
            <w:vAlign w:val="center"/>
            <w:hideMark/>
          </w:tcPr>
          <w:p w14:paraId="3F86146F" w14:textId="77777777" w:rsidR="000D297E" w:rsidRPr="00376EF3" w:rsidRDefault="000D297E" w:rsidP="000D297E">
            <w:pPr>
              <w:pStyle w:val="ITRCTableTextCentered"/>
              <w:spacing w:before="120" w:after="120"/>
            </w:pPr>
            <w:r w:rsidRPr="00376EF3">
              <w:t>Brood size</w:t>
            </w:r>
          </w:p>
        </w:tc>
        <w:tc>
          <w:tcPr>
            <w:tcW w:w="2002" w:type="dxa"/>
            <w:gridSpan w:val="2"/>
            <w:shd w:val="clear" w:color="auto" w:fill="DBE5F1" w:themeFill="accent1" w:themeFillTint="33"/>
            <w:vAlign w:val="center"/>
          </w:tcPr>
          <w:p w14:paraId="15CACF14" w14:textId="77777777" w:rsidR="000D297E" w:rsidRPr="00376EF3" w:rsidRDefault="000D297E" w:rsidP="00431ABC">
            <w:pPr>
              <w:pStyle w:val="ITRCTableText"/>
              <w:spacing w:before="120" w:after="120"/>
            </w:pPr>
            <w:r>
              <w:fldChar w:fldCharType="begin"/>
            </w:r>
            <w:r>
              <w:instrText xml:space="preserve"> ADDIN ZOTERO_ITEM CSL_CITATION {"citationID":"fD1yLo5K","properties":{"formattedCitation":"(Hua et al. 2023b)","plainCitation":"(Hua et al. 2023b)","noteIndex":0},"citationItems":[{"id":10483,"uris":["http://zotero.org/groups/4889498/items/34HHWP5H"],"itemData":{"id":10483,"type":"article-journal","abstract":"Recently, 6-PPD quinone (6-PPDQ), a derivative of tire antioxidant 6-PPD, was reported to have acute toxicity for organisms. However, the possible reproductive toxicity of 6-PPDQ is still largely unclear. In this study, the reproductive toxicity of 6-PPDQ after long-term exposure was further investigated in Caenorhabditis elegans. Exposure to 1 and 10 μg/L 6-PPDQ reduced the reproductive capacity. Meanwhile, exposure to 1 and 10 μg/L 6-PPDQ enhanced the germline apoptosis, which was accompanied by upregulation of ced-3, ced-4, and egl-1 expressions and downregulation of ced-9 expression. The observed increase in germline apoptosis in 1 and 10 μg/L 6-PPDQ exposed nematodes was associated with the enhancement in DNA damage and increase in expressions of related genes of cep-1, clk-2, hus-1, and mrt-2. The detected enhancement in germline apoptosis in 1 and 10 μg/L 6-PPDQ exposed nematodes was further associated with the increase in expressions of ced-1 and ced-6 governing the cell corpse engulfment process. Molecular docking analysis indicated the binding potentials of 6-PPDQ with three DNA damage checkpoints (CLK-2, HUS-1, and MRT-2) and corpse-recognizing phagocytic receptor CED-1. Therefore, our data suggested the toxicity on reproductive capacity by 6-PPDQ at environmentally relevant concentrations by enhancing DNA damage- and cell corpse engulfment-induced germline apoptosis in organisms.","container-title":"Journal of Hazardous Materials","DOI":"10.1016/j.jhazmat.2023.131495","ISSN":"0304-3894","journalAbbreviation":"Journal of Hazardous Materials","language":"en","page":"131495","source":"ScienceDirect","title":"Long-term exposure to 6-PPD quinone reduces reproductive capacity by enhancing germline apoptosis associated with activation of both DNA damage and cell corpse engulfment in Caenorhabditis elegans","volume":"454","author":[{"family":"Hua","given":"Xin"},{"family":"Feng","given":"Xiao"},{"family":"Liang","given":"Geyu"},{"family":"Chao","given":"Jie"},{"family":"Wang","given":"Dayong"}],"issued":{"date-parts":[["2023",7,15]]}}}],"schema":"https://github.com/citation-style-language/schema/raw/master/csl-citation.json"} </w:instrText>
            </w:r>
            <w:r>
              <w:fldChar w:fldCharType="separate"/>
            </w:r>
            <w:r w:rsidRPr="00461295">
              <w:t>(Hua et al. 2023b)</w:t>
            </w:r>
            <w:r>
              <w:fldChar w:fldCharType="end"/>
            </w:r>
          </w:p>
        </w:tc>
      </w:tr>
      <w:tr w:rsidR="000D297E" w:rsidRPr="00376EF3" w14:paraId="590E2A49" w14:textId="77777777" w:rsidTr="00431ABC">
        <w:trPr>
          <w:cantSplit/>
        </w:trPr>
        <w:tc>
          <w:tcPr>
            <w:tcW w:w="1253" w:type="dxa"/>
            <w:shd w:val="clear" w:color="auto" w:fill="DBE5F1" w:themeFill="accent1" w:themeFillTint="33"/>
            <w:noWrap/>
            <w:vAlign w:val="center"/>
            <w:hideMark/>
          </w:tcPr>
          <w:p w14:paraId="0BF6C019"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143424C6" w14:textId="77777777" w:rsidR="000D297E" w:rsidRPr="00376EF3" w:rsidRDefault="000D297E" w:rsidP="000D297E">
            <w:pPr>
              <w:pStyle w:val="ITRCTableTextCentered"/>
              <w:spacing w:before="120" w:after="120"/>
            </w:pPr>
            <w:r w:rsidRPr="00376EF3">
              <w:t>Invertebrate</w:t>
            </w:r>
          </w:p>
        </w:tc>
        <w:tc>
          <w:tcPr>
            <w:tcW w:w="3686" w:type="dxa"/>
            <w:shd w:val="clear" w:color="auto" w:fill="DBE5F1" w:themeFill="accent1" w:themeFillTint="33"/>
            <w:vAlign w:val="center"/>
          </w:tcPr>
          <w:p w14:paraId="2F73816B" w14:textId="77777777" w:rsidR="000D297E" w:rsidRPr="00376EF3" w:rsidRDefault="000D297E" w:rsidP="000D297E">
            <w:pPr>
              <w:pStyle w:val="ITRCTableTextCentered"/>
              <w:spacing w:before="120" w:after="120"/>
            </w:pPr>
            <w:r w:rsidRPr="00376EF3">
              <w:t xml:space="preserve">Springtail, </w:t>
            </w:r>
            <w:proofErr w:type="spellStart"/>
            <w:r w:rsidRPr="00A04B65">
              <w:rPr>
                <w:i/>
                <w:iCs/>
              </w:rPr>
              <w:t>Folsomia</w:t>
            </w:r>
            <w:proofErr w:type="spellEnd"/>
            <w:r w:rsidRPr="00A04B65">
              <w:rPr>
                <w:i/>
                <w:iCs/>
              </w:rPr>
              <w:t xml:space="preserve"> candida</w:t>
            </w:r>
          </w:p>
        </w:tc>
        <w:tc>
          <w:tcPr>
            <w:tcW w:w="1627" w:type="dxa"/>
            <w:shd w:val="clear" w:color="auto" w:fill="DBE5F1" w:themeFill="accent1" w:themeFillTint="33"/>
            <w:noWrap/>
            <w:vAlign w:val="center"/>
            <w:hideMark/>
          </w:tcPr>
          <w:p w14:paraId="7D38B644" w14:textId="77777777" w:rsidR="000D297E" w:rsidRPr="00376EF3" w:rsidRDefault="000D297E" w:rsidP="000D297E">
            <w:pPr>
              <w:pStyle w:val="ITRCTableTextCentered"/>
              <w:spacing w:before="120" w:after="120"/>
            </w:pPr>
            <w:r w:rsidRPr="00376EF3">
              <w:t>16.31</w:t>
            </w:r>
          </w:p>
        </w:tc>
        <w:tc>
          <w:tcPr>
            <w:tcW w:w="778" w:type="dxa"/>
            <w:shd w:val="clear" w:color="auto" w:fill="DBE5F1" w:themeFill="accent1" w:themeFillTint="33"/>
            <w:noWrap/>
            <w:vAlign w:val="center"/>
            <w:hideMark/>
          </w:tcPr>
          <w:p w14:paraId="03B54B17" w14:textId="77777777" w:rsidR="000D297E" w:rsidRPr="00376EF3" w:rsidRDefault="000D297E" w:rsidP="000D297E">
            <w:pPr>
              <w:pStyle w:val="ITRCTableTextCentered"/>
              <w:spacing w:before="120" w:after="120"/>
            </w:pPr>
            <w:r w:rsidRPr="00376EF3">
              <w:t>mg/kg</w:t>
            </w:r>
          </w:p>
        </w:tc>
        <w:tc>
          <w:tcPr>
            <w:tcW w:w="1123" w:type="dxa"/>
            <w:shd w:val="clear" w:color="auto" w:fill="DBE5F1" w:themeFill="accent1" w:themeFillTint="33"/>
            <w:noWrap/>
            <w:vAlign w:val="center"/>
            <w:hideMark/>
          </w:tcPr>
          <w:p w14:paraId="5D0E528C" w14:textId="77777777" w:rsidR="000D297E" w:rsidRPr="00376EF3" w:rsidRDefault="000D297E" w:rsidP="000D297E">
            <w:pPr>
              <w:pStyle w:val="ITRCTableTextCentered"/>
              <w:spacing w:before="120" w:after="120"/>
            </w:pPr>
            <w:r w:rsidRPr="00376EF3">
              <w:t>28d</w:t>
            </w:r>
          </w:p>
        </w:tc>
        <w:tc>
          <w:tcPr>
            <w:tcW w:w="1282" w:type="dxa"/>
            <w:shd w:val="clear" w:color="auto" w:fill="DBE5F1" w:themeFill="accent1" w:themeFillTint="33"/>
            <w:noWrap/>
            <w:vAlign w:val="center"/>
            <w:hideMark/>
          </w:tcPr>
          <w:p w14:paraId="0981B09C" w14:textId="77777777" w:rsidR="000D297E" w:rsidRPr="00376EF3" w:rsidRDefault="000D297E" w:rsidP="000D297E">
            <w:pPr>
              <w:pStyle w:val="ITRCTableTextCentered"/>
              <w:spacing w:before="120" w:after="120"/>
            </w:pPr>
            <w:r w:rsidRPr="00376EF3">
              <w:t>Mortality</w:t>
            </w:r>
          </w:p>
        </w:tc>
        <w:tc>
          <w:tcPr>
            <w:tcW w:w="2002" w:type="dxa"/>
            <w:gridSpan w:val="2"/>
            <w:shd w:val="clear" w:color="auto" w:fill="DBE5F1" w:themeFill="accent1" w:themeFillTint="33"/>
            <w:vAlign w:val="center"/>
          </w:tcPr>
          <w:p w14:paraId="4F610BCA" w14:textId="77777777" w:rsidR="000D297E" w:rsidRPr="00376EF3" w:rsidRDefault="000D297E" w:rsidP="00431ABC">
            <w:pPr>
              <w:pStyle w:val="ITRCTableText"/>
              <w:spacing w:before="120" w:after="120"/>
            </w:pPr>
            <w:r>
              <w:fldChar w:fldCharType="begin"/>
            </w:r>
            <w:r>
              <w:instrText xml:space="preserve"> ADDIN ZOTERO_ITEM CSL_CITATION {"citationID":"pQMjaDPc","properties":{"formattedCitation":"(Xu et al. 2023)","plainCitation":"(Xu et al. 2023)","noteIndex":0},"citationItems":[{"id":11475,"uris":["http://zotero.org/groups/4911552/items/WDVQCW7M"],"itemData":{"id":11475,"type":"article-journal","abstract":"The potential risk of N-(1,3-dimethylbutyl)-N′-phenyl-p-phenylenediamine quinone (6PPD-Q) to soil organisms remains poorly understood. Here we showed that 6PPD-Q pollution inhibited the survival of collembolans (Folsomia candida) with the chronic median lethal concentration (LC50) of 16.31 μg kg−1 in a 28-day soil culture. The microbe-microbe interactions between abundant taxa in soil and collembolan gut helped alleviate the negative impact of 6PPD-Q on soil microbial community, while rare taxa contributed to maintaining microbial network complexity and stability under 6PPD-Q stresses. Gammaproteobacteria, Alphaproteobacteria and Actinobacteria in the gut of both adult and juvenile collembolans were identified as potential indicators for 6PPD-Q exposure. Such responses were accompanied by increases in the relative abundances of genes involved in nutrient cycles and their interactions between soil and collembolan gut microbiomes, which enhanced nitrogen and carbon turnover in 6PPD-Q polluted soil, potentially alleviating the stresses caused by 6PPD-Q. Overall, this study sheds new light on the toxicity of 6PPD-Q to soil organisms and links 6PPD-Q stresses to microbial responses and soil functions, thus highlighting the urgency of assessing its potential risk to the terrestrial ecosystem.","container-title":"Science of the Total Environment","DOI":"10.1016/j.scitotenv.2023.165810","ISSN":"0048-9697","journalAbbreviation":"Science of the Total Environment","page":"165810","source":"ScienceDirect","title":"Responses of soil and collembolan (&lt;i&gt;&lt;span class=\"nocase\"&gt;Folsomia candida&lt;/span&gt;&lt;/i&gt;) gut microbiomes to 6PPD-Q pollution","volume":"900","author":[{"family":"Xu","given":"Qiao"},{"family":"Wu","given":"Wei"},{"family":"Xiao","given":"Zufei"},{"family":"Sun","given":"Xin"},{"family":"Ma","given":"Jun"},{"family":"Ding","given":"Jing"},{"family":"Zhu","given":"Zhe"},{"family":"Li","given":"Gang"}],"issued":{"date-parts":[["2023",11,20]]}}}],"schema":"https://github.com/citation-style-language/schema/raw/master/csl-citation.json"} </w:instrText>
            </w:r>
            <w:r>
              <w:fldChar w:fldCharType="separate"/>
            </w:r>
            <w:r w:rsidRPr="00F8543A">
              <w:t>(Xu et al. 2023)</w:t>
            </w:r>
            <w:r>
              <w:fldChar w:fldCharType="end"/>
            </w:r>
          </w:p>
        </w:tc>
      </w:tr>
      <w:tr w:rsidR="000D297E" w:rsidRPr="00376EF3" w14:paraId="4163870D" w14:textId="77777777" w:rsidTr="00431ABC">
        <w:trPr>
          <w:cantSplit/>
        </w:trPr>
        <w:tc>
          <w:tcPr>
            <w:tcW w:w="1253" w:type="dxa"/>
            <w:shd w:val="clear" w:color="auto" w:fill="DBE5F1" w:themeFill="accent1" w:themeFillTint="33"/>
            <w:noWrap/>
            <w:vAlign w:val="center"/>
            <w:hideMark/>
          </w:tcPr>
          <w:p w14:paraId="0F790D90" w14:textId="77777777" w:rsidR="000D297E" w:rsidRPr="00376EF3" w:rsidRDefault="000D297E" w:rsidP="000D297E">
            <w:pPr>
              <w:pStyle w:val="ITRCTableTextCentered"/>
              <w:spacing w:before="120" w:after="120"/>
            </w:pPr>
            <w:r w:rsidRPr="00376EF3">
              <w:t>6PPD</w:t>
            </w:r>
            <w:r>
              <w:noBreakHyphen/>
              <w:t>q</w:t>
            </w:r>
          </w:p>
        </w:tc>
        <w:tc>
          <w:tcPr>
            <w:tcW w:w="1354" w:type="dxa"/>
            <w:shd w:val="clear" w:color="auto" w:fill="DBE5F1" w:themeFill="accent1" w:themeFillTint="33"/>
            <w:vAlign w:val="center"/>
          </w:tcPr>
          <w:p w14:paraId="3209F507" w14:textId="77777777" w:rsidR="000D297E" w:rsidRPr="00376EF3" w:rsidRDefault="000D297E" w:rsidP="000D297E">
            <w:pPr>
              <w:pStyle w:val="ITRCTableTextCentered"/>
              <w:spacing w:before="120" w:after="120"/>
            </w:pPr>
            <w:r w:rsidRPr="00376EF3">
              <w:t>Invertebrate</w:t>
            </w:r>
          </w:p>
        </w:tc>
        <w:tc>
          <w:tcPr>
            <w:tcW w:w="3686" w:type="dxa"/>
            <w:shd w:val="clear" w:color="auto" w:fill="DBE5F1" w:themeFill="accent1" w:themeFillTint="33"/>
            <w:vAlign w:val="center"/>
          </w:tcPr>
          <w:p w14:paraId="4309CB5C" w14:textId="77777777" w:rsidR="000D297E" w:rsidRPr="00376EF3" w:rsidRDefault="000D297E" w:rsidP="000D297E">
            <w:pPr>
              <w:pStyle w:val="ITRCTableTextCentered"/>
              <w:spacing w:before="120" w:after="120"/>
            </w:pPr>
            <w:r w:rsidRPr="00376EF3">
              <w:t xml:space="preserve">Water flea, </w:t>
            </w:r>
            <w:r w:rsidRPr="00A04B65">
              <w:rPr>
                <w:i/>
              </w:rPr>
              <w:t>Daphnia magna</w:t>
            </w:r>
          </w:p>
        </w:tc>
        <w:tc>
          <w:tcPr>
            <w:tcW w:w="1627" w:type="dxa"/>
            <w:shd w:val="clear" w:color="auto" w:fill="DBE5F1" w:themeFill="accent1" w:themeFillTint="33"/>
            <w:noWrap/>
            <w:vAlign w:val="center"/>
            <w:hideMark/>
          </w:tcPr>
          <w:p w14:paraId="69CB5CA4" w14:textId="77777777" w:rsidR="000D297E" w:rsidRPr="00376EF3" w:rsidRDefault="000D297E" w:rsidP="000D297E">
            <w:pPr>
              <w:pStyle w:val="ITRCTableTextCentered"/>
              <w:spacing w:before="120" w:after="120"/>
            </w:pPr>
            <w:r w:rsidRPr="00376EF3">
              <w:t>&gt; 42</w:t>
            </w:r>
          </w:p>
        </w:tc>
        <w:tc>
          <w:tcPr>
            <w:tcW w:w="778" w:type="dxa"/>
            <w:shd w:val="clear" w:color="auto" w:fill="DBE5F1" w:themeFill="accent1" w:themeFillTint="33"/>
            <w:noWrap/>
            <w:vAlign w:val="center"/>
            <w:hideMark/>
          </w:tcPr>
          <w:p w14:paraId="39ADDFB6" w14:textId="77777777" w:rsidR="000D297E" w:rsidRPr="00376EF3" w:rsidRDefault="000D297E" w:rsidP="000D297E">
            <w:pPr>
              <w:pStyle w:val="ITRCTableTextCentered"/>
              <w:spacing w:before="120" w:after="120"/>
            </w:pPr>
            <w:r w:rsidRPr="00376EF3">
              <w:t>µg/L</w:t>
            </w:r>
          </w:p>
        </w:tc>
        <w:tc>
          <w:tcPr>
            <w:tcW w:w="1123" w:type="dxa"/>
            <w:shd w:val="clear" w:color="auto" w:fill="DBE5F1" w:themeFill="accent1" w:themeFillTint="33"/>
            <w:noWrap/>
            <w:vAlign w:val="center"/>
            <w:hideMark/>
          </w:tcPr>
          <w:p w14:paraId="5E6C24AE" w14:textId="77777777" w:rsidR="000D297E" w:rsidRPr="00376EF3" w:rsidRDefault="000D297E" w:rsidP="000D297E">
            <w:pPr>
              <w:pStyle w:val="ITRCTableTextCentered"/>
              <w:spacing w:before="120" w:after="120"/>
            </w:pPr>
            <w:r w:rsidRPr="00376EF3">
              <w:t>21d</w:t>
            </w:r>
          </w:p>
        </w:tc>
        <w:tc>
          <w:tcPr>
            <w:tcW w:w="1282" w:type="dxa"/>
            <w:shd w:val="clear" w:color="auto" w:fill="DBE5F1" w:themeFill="accent1" w:themeFillTint="33"/>
            <w:vAlign w:val="center"/>
            <w:hideMark/>
          </w:tcPr>
          <w:p w14:paraId="75C7FFB3" w14:textId="77777777" w:rsidR="000D297E" w:rsidRPr="00376EF3" w:rsidRDefault="000D297E" w:rsidP="000D297E">
            <w:pPr>
              <w:pStyle w:val="ITRCTableTextCentered"/>
              <w:spacing w:before="120" w:after="120"/>
            </w:pPr>
            <w:r w:rsidRPr="00376EF3">
              <w:t>Mortality and growth</w:t>
            </w:r>
          </w:p>
        </w:tc>
        <w:tc>
          <w:tcPr>
            <w:tcW w:w="2002" w:type="dxa"/>
            <w:gridSpan w:val="2"/>
            <w:shd w:val="clear" w:color="auto" w:fill="DBE5F1" w:themeFill="accent1" w:themeFillTint="33"/>
            <w:vAlign w:val="center"/>
          </w:tcPr>
          <w:p w14:paraId="14A963BA" w14:textId="77777777" w:rsidR="000D297E" w:rsidRPr="00376EF3" w:rsidRDefault="000D297E" w:rsidP="00431ABC">
            <w:pPr>
              <w:pStyle w:val="ITRCTableText"/>
              <w:spacing w:before="120" w:after="120"/>
            </w:pPr>
            <w:r>
              <w:fldChar w:fldCharType="begin"/>
            </w:r>
            <w:r>
              <w:instrText xml:space="preserve"> ADDIN ZOTERO_ITEM CSL_CITATION {"citationID":"u1AWPcEP","properties":{"formattedCitation":"(R. S. Prosser, Salole, and Hang 2023)","plainCitation":"(R. S. Prosser, Salole, and Hang 2023)","noteIndex":0},"citationItems":[{"id":10670,"uris":["http://zotero.org/groups/4889498/items/KWG8VJVK"],"itemData":{"id":10670,"type":"article-journal","abstract":"The antioxidant N-(1,3-Dimethylbutyl)-N′-phenyl-p- phenylenediamine (6PPD) is used to protect the rubber in tires from oxidation, which extends the life of the tire. When oxidized, 6PPD is transformed into 6PPD-quinone (6PPDQ). 6PPDQ, along with other tire ingredients, can enter aquatic ecosystems through the transport of tire wear particles in runoff during a precipitation event. The mass mortality of coho salmon following precipitation events in urban areas lead to the discovery that 6PPDQ is the likely cause due to coho salmon's relatively high sensitivity to 6PPDQ. The assessment of 6PPDQ toxicity to other aquatic species has expanded, but it has focused on fish. This study investigated the toxicity of 6PPDQ to four freshwater invertebrate species, larval burrowing mayfly (Hexagenia spp.), juvenile cladoceran (Daphnia magna), file ramshorn snail embryo (Planorbella pilsbryi), and adult washboard mussel (Megalonaias nervosa). For all four species, the highest concentration of 6PPDQ tested did not result in significant mortality. This translated into the determination of the highest concentration that did not cause significant mortality (NOEC) for Hexagenia spp., D. magna, P. pilsbryi, and M. nervosa of 232.0, 42.0, 11.7, and 17.9 μg/L, respectively. The data from this study indicate that freshwater invertebrates are not as sensitive to 6PPDQ as some salmonid species (e.g., coho salmon Oncorhynchus kisutch). This study also analyzed 6PPDQ in road runoff from around the city of Guelph in Ontario, Canada. 6PPQ was detected in all samples but the concentration was two orders of magnitude lower than the NOECs for the four tested species of freshwater invertebrate.","container-title":"Environmental Pollution","DOI":"10.1016/j.envpol.2023.122512","ISSN":"0269-7491","journalAbbreviation":"Environmental Pollution","page":"122512","source":"ScienceDirect","title":"Toxicity of 6PPD-quinone to four freshwater invertebrate species","author":[{"family":"Prosser","given":"R. S."},{"family":"Salole","given":"J."},{"family":"Hang","given":"S."}],"issued":{"date-parts":[["2023",9,4]]}}}],"schema":"https://github.com/citation-style-language/schema/raw/master/csl-citation.json"} </w:instrText>
            </w:r>
            <w:r>
              <w:fldChar w:fldCharType="separate"/>
            </w:r>
            <w:r w:rsidRPr="00F8543A">
              <w:t>(R. S. Prosser, Salole, and Hang 2023)</w:t>
            </w:r>
            <w:r>
              <w:fldChar w:fldCharType="end"/>
            </w:r>
          </w:p>
        </w:tc>
      </w:tr>
    </w:tbl>
    <w:p w14:paraId="16258C92" w14:textId="08324832" w:rsidR="00376EF3" w:rsidRDefault="006C644E" w:rsidP="006C644E">
      <w:pPr>
        <w:pStyle w:val="ITRCTableText"/>
      </w:pPr>
      <w:r>
        <w:t xml:space="preserve">Note: </w:t>
      </w:r>
      <w:r w:rsidR="003045E6" w:rsidRPr="00AD5587">
        <w:rPr>
          <w:vertAlign w:val="superscript"/>
        </w:rPr>
        <w:t>**</w:t>
      </w:r>
      <w:r w:rsidR="003045E6">
        <w:t>=Citation is</w:t>
      </w:r>
      <w:r w:rsidR="003045E6" w:rsidRPr="00376EF3">
        <w:t xml:space="preserve"> pre-proof, presentation, or </w:t>
      </w:r>
      <w:r w:rsidR="003045E6">
        <w:t>non-</w:t>
      </w:r>
      <w:r w:rsidR="003045E6" w:rsidRPr="00376EF3">
        <w:t>peer-reviewed article</w:t>
      </w:r>
      <w:r w:rsidR="003045E6">
        <w:t xml:space="preserve">; </w:t>
      </w:r>
      <w:r w:rsidR="00C3317D" w:rsidRPr="00376EF3">
        <w:t>µg/</w:t>
      </w:r>
      <w:r w:rsidR="00C3317D">
        <w:t>g=microgram per gram</w:t>
      </w:r>
      <w:r w:rsidR="003045E6">
        <w:t>;</w:t>
      </w:r>
      <w:r w:rsidR="00C3317D" w:rsidRPr="00376EF3">
        <w:t xml:space="preserve"> µg/L</w:t>
      </w:r>
      <w:r w:rsidR="00C3317D">
        <w:t>=micrograms per liter</w:t>
      </w:r>
      <w:r w:rsidR="003045E6">
        <w:t>;</w:t>
      </w:r>
      <w:r w:rsidR="00C3317D">
        <w:t xml:space="preserve"> </w:t>
      </w:r>
      <w:r w:rsidR="00F8543A">
        <w:t>d=days</w:t>
      </w:r>
      <w:r w:rsidR="003045E6">
        <w:t>;</w:t>
      </w:r>
      <w:r w:rsidR="00F8543A">
        <w:t xml:space="preserve"> </w:t>
      </w:r>
      <w:proofErr w:type="spellStart"/>
      <w:r w:rsidR="00F8543A">
        <w:t>dw</w:t>
      </w:r>
      <w:proofErr w:type="spellEnd"/>
      <w:r w:rsidR="00F8543A">
        <w:t>=dry weight</w:t>
      </w:r>
      <w:r w:rsidR="003045E6">
        <w:t>;</w:t>
      </w:r>
      <w:r w:rsidR="00F8543A">
        <w:t xml:space="preserve"> h=hours</w:t>
      </w:r>
      <w:r w:rsidR="003045E6">
        <w:t>;</w:t>
      </w:r>
      <w:r w:rsidR="00F8543A">
        <w:t xml:space="preserve"> kg=kilogram, mg=milligram</w:t>
      </w:r>
      <w:r w:rsidR="003045E6">
        <w:t>;</w:t>
      </w:r>
      <w:r w:rsidR="00B8392C">
        <w:t xml:space="preserve"> NOEC=no observed effect level concentration</w:t>
      </w:r>
    </w:p>
    <w:bookmarkEnd w:id="0"/>
    <w:p w14:paraId="098322DE" w14:textId="55D05F5F" w:rsidR="00C3317D" w:rsidRPr="00C3317D" w:rsidRDefault="00C3317D" w:rsidP="00C3317D">
      <w:pPr>
        <w:pStyle w:val="Bibliography"/>
        <w:spacing w:after="240"/>
        <w:rPr>
          <w:b/>
          <w:bCs/>
        </w:rPr>
      </w:pPr>
      <w:r w:rsidRPr="00C3317D">
        <w:rPr>
          <w:b/>
          <w:bCs/>
        </w:rPr>
        <w:t>References</w:t>
      </w:r>
    </w:p>
    <w:p w14:paraId="5F81EF1F" w14:textId="3C1B972B" w:rsidR="00461295" w:rsidRPr="00461295" w:rsidRDefault="00CE11E1" w:rsidP="00C3317D">
      <w:pPr>
        <w:pStyle w:val="Bibliography"/>
        <w:spacing w:after="240"/>
      </w:pPr>
      <w:r>
        <w:fldChar w:fldCharType="begin"/>
      </w:r>
      <w:r w:rsidR="00643F41">
        <w:instrText xml:space="preserve"> ADDIN ZOTERO_BIBL {"uncited":[],"omitted":[],"custom":[]} CSL_BIBLIOGRAPHY </w:instrText>
      </w:r>
      <w:r>
        <w:fldChar w:fldCharType="separate"/>
      </w:r>
      <w:r w:rsidR="00461295" w:rsidRPr="00461295">
        <w:t>Anderson-Bain, Katherine, Catherine Roberts, Evan Kohlman, Xiaowen Ji, Alper J. Alcaraz, Justin Miller, Tabitha Gangur-Powell, et al. 2023. “Apical and Mechanistic Effects of 6PPD-Quinone on Different Life-Stages of the Fathead Minnow (</w:t>
      </w:r>
      <w:r w:rsidR="00461295" w:rsidRPr="00461295">
        <w:rPr>
          <w:i/>
          <w:iCs/>
        </w:rPr>
        <w:t>Pimephales Promelas</w:t>
      </w:r>
      <w:r w:rsidR="00461295" w:rsidRPr="00461295">
        <w:t xml:space="preserve">).” </w:t>
      </w:r>
      <w:r w:rsidR="00461295" w:rsidRPr="00461295">
        <w:rPr>
          <w:i/>
          <w:iCs/>
        </w:rPr>
        <w:t>Comparative Biochemistry and Physiology Part C: Toxicology &amp; Pharmacology</w:t>
      </w:r>
      <w:r w:rsidR="00461295" w:rsidRPr="00461295">
        <w:t xml:space="preserve"> 271 (September):109697. https://doi.org/10.1016/j.cbpc.2023.109697.</w:t>
      </w:r>
    </w:p>
    <w:p w14:paraId="16BF5301" w14:textId="77777777" w:rsidR="00461295" w:rsidRPr="00461295" w:rsidRDefault="00461295" w:rsidP="00C3317D">
      <w:pPr>
        <w:pStyle w:val="Bibliography"/>
        <w:spacing w:after="240"/>
      </w:pPr>
      <w:r w:rsidRPr="00461295">
        <w:t xml:space="preserve">Botelho, Marina Tenório, Gabriely Groto Militão, Markus Brinkmann, and Gisela de Aragão Umbuzeiro. 2023. “Toxicity and Mutagenicity Studies of 6PPD-Quinone in a Marine Invertebrate Species and Bacteria.” </w:t>
      </w:r>
      <w:r w:rsidRPr="00461295">
        <w:rPr>
          <w:i/>
          <w:iCs/>
        </w:rPr>
        <w:t>Environmental and Molecular Mutagenesis</w:t>
      </w:r>
      <w:r w:rsidRPr="00461295">
        <w:t xml:space="preserve"> 64 (6): 335–41. https://doi.org/10.1002/em.22560.</w:t>
      </w:r>
    </w:p>
    <w:p w14:paraId="44DFFF91" w14:textId="77777777" w:rsidR="00461295" w:rsidRPr="00461295" w:rsidRDefault="00461295" w:rsidP="00C3317D">
      <w:pPr>
        <w:pStyle w:val="Bibliography"/>
        <w:spacing w:after="240"/>
      </w:pPr>
      <w:r w:rsidRPr="00461295">
        <w:t xml:space="preserve">Brinkmann, Markus, David Montgomery, Summer Selinger, Justin G. P. Miller, Eric Stock, Alper James Alcaraz, Jonathan K. Challis, et al. 2022. “Acute Toxicity of the Tire Rubber–Derived Chemical 6PPD-Quinone to Four Fishes of Commercial, Cultural, and </w:t>
      </w:r>
      <w:r w:rsidRPr="00461295">
        <w:lastRenderedPageBreak/>
        <w:t xml:space="preserve">Ecological Importance.” </w:t>
      </w:r>
      <w:r w:rsidRPr="00461295">
        <w:rPr>
          <w:i/>
          <w:iCs/>
        </w:rPr>
        <w:t>Environmental Science &amp; Technology Letters</w:t>
      </w:r>
      <w:r w:rsidRPr="00461295">
        <w:t>, March, acs.estlett.2c00050. https://doi.org/10.1021/acs.estlett.2c00050.</w:t>
      </w:r>
    </w:p>
    <w:p w14:paraId="605C2BF9" w14:textId="77777777" w:rsidR="00461295" w:rsidRPr="00461295" w:rsidRDefault="00461295" w:rsidP="00C3317D">
      <w:pPr>
        <w:pStyle w:val="Bibliography"/>
        <w:spacing w:after="240"/>
      </w:pPr>
      <w:r w:rsidRPr="00461295">
        <w:t xml:space="preserve">Di, Shanshan, Zhenzhen Liu, Huiyu Zhao, Ying Li, Peipei Qi, Zhiwei Wang, Hao Xu, Yuanxiang Jin, and Xinquan Wang. 2022. “Chiral Perspective Evaluations: Enantioselective Hydrolysis of 6PPD and 6PPD-Quinone in Water and Enantioselective Toxicity to </w:t>
      </w:r>
      <w:r w:rsidRPr="00461295">
        <w:rPr>
          <w:i/>
          <w:iCs/>
        </w:rPr>
        <w:t>Gobiocypris Rarus</w:t>
      </w:r>
      <w:r w:rsidRPr="00461295">
        <w:t xml:space="preserve"> and </w:t>
      </w:r>
      <w:r w:rsidRPr="00461295">
        <w:rPr>
          <w:i/>
          <w:iCs/>
        </w:rPr>
        <w:t>Oncorhynchus Mykiss</w:t>
      </w:r>
      <w:r w:rsidRPr="00461295">
        <w:t xml:space="preserve">.” </w:t>
      </w:r>
      <w:r w:rsidRPr="00461295">
        <w:rPr>
          <w:i/>
          <w:iCs/>
        </w:rPr>
        <w:t>Environment International</w:t>
      </w:r>
      <w:r w:rsidRPr="00461295">
        <w:t xml:space="preserve"> 166 (August):107374. https://doi.org/10.1016/j.envint.2022.107374.</w:t>
      </w:r>
    </w:p>
    <w:p w14:paraId="4B0FE88A" w14:textId="77777777" w:rsidR="00461295" w:rsidRPr="00461295" w:rsidRDefault="00461295" w:rsidP="00C3317D">
      <w:pPr>
        <w:pStyle w:val="Bibliography"/>
        <w:spacing w:after="240"/>
      </w:pPr>
      <w:r w:rsidRPr="00461295">
        <w:t>Fang, Chanlin, Liya Fang, Shanshan Di, Yundong Yu, Xinquan Wang, Caihong Wang, and Yuanxiang Jin. 2023. “Characterization of N-(1,3-Dimethylbutyl)-</w:t>
      </w:r>
      <w:r w:rsidRPr="00461295">
        <w:rPr>
          <w:i/>
          <w:iCs/>
        </w:rPr>
        <w:t>N′</w:t>
      </w:r>
      <w:r w:rsidRPr="00461295">
        <w:t>-Phenyl-</w:t>
      </w:r>
      <w:r w:rsidRPr="00461295">
        <w:rPr>
          <w:i/>
          <w:iCs/>
        </w:rPr>
        <w:t>p</w:t>
      </w:r>
      <w:r w:rsidRPr="00461295">
        <w:t>-Phenylenediamine (6PPD)-Induced Cardiotoxicity in Larval Zebrafish (</w:t>
      </w:r>
      <w:r w:rsidRPr="00461295">
        <w:rPr>
          <w:i/>
          <w:iCs/>
        </w:rPr>
        <w:t>Danio Rerio</w:t>
      </w:r>
      <w:r w:rsidRPr="00461295">
        <w:t xml:space="preserve">).” </w:t>
      </w:r>
      <w:r w:rsidRPr="00461295">
        <w:rPr>
          <w:i/>
          <w:iCs/>
        </w:rPr>
        <w:t>Science of the Total Environment</w:t>
      </w:r>
      <w:r w:rsidRPr="00461295">
        <w:t xml:space="preserve"> 882 (July):163595. https://doi.org/10.1016/j.scitotenv.2023.163595.</w:t>
      </w:r>
    </w:p>
    <w:p w14:paraId="3C58E45A" w14:textId="77777777" w:rsidR="00461295" w:rsidRPr="00461295" w:rsidRDefault="00461295" w:rsidP="00C3317D">
      <w:pPr>
        <w:pStyle w:val="Bibliography"/>
        <w:spacing w:after="240"/>
      </w:pPr>
      <w:r w:rsidRPr="00461295">
        <w:t>Foldvik, Anders, Fedor Kryuchkov, Roar Sandodden, and Silvio Uhlig. 2022. “Acute Toxicity Testing of the Tire Rubber–Derived Chemical 6PPD-Quinone on Atlantic Salmon (</w:t>
      </w:r>
      <w:r w:rsidRPr="00461295">
        <w:rPr>
          <w:i/>
          <w:iCs/>
        </w:rPr>
        <w:t>Salmo Salar</w:t>
      </w:r>
      <w:r w:rsidRPr="00461295">
        <w:t>) and Brown Trout (</w:t>
      </w:r>
      <w:r w:rsidRPr="00461295">
        <w:rPr>
          <w:i/>
          <w:iCs/>
        </w:rPr>
        <w:t>Salmo Trutta</w:t>
      </w:r>
      <w:r w:rsidRPr="00461295">
        <w:t xml:space="preserve">).” </w:t>
      </w:r>
      <w:r w:rsidRPr="00461295">
        <w:rPr>
          <w:i/>
          <w:iCs/>
        </w:rPr>
        <w:t>Environmental Toxicology and Chemistry</w:t>
      </w:r>
      <w:r w:rsidRPr="00461295">
        <w:t xml:space="preserve"> 41 (12): 3041–45. https://doi.org/10.1002/etc.5487.</w:t>
      </w:r>
    </w:p>
    <w:p w14:paraId="393D31F4" w14:textId="77777777" w:rsidR="00461295" w:rsidRPr="00461295" w:rsidRDefault="00461295" w:rsidP="00C3317D">
      <w:pPr>
        <w:pStyle w:val="Bibliography"/>
        <w:spacing w:after="240"/>
      </w:pPr>
      <w:r w:rsidRPr="00461295">
        <w:t>Foldvik, Anders, Fedor Kryuchkov, Eva Ulvan, Roar Sandodden, and Elii Kvingedal. 2024. “Acute Toxicity Testing of Pink Salmon (</w:t>
      </w:r>
      <w:r w:rsidRPr="00461295">
        <w:rPr>
          <w:i/>
          <w:iCs/>
        </w:rPr>
        <w:t>Oncorhynchus gorbuscha</w:t>
      </w:r>
      <w:r w:rsidRPr="00461295">
        <w:t xml:space="preserve">) with the Tire Rubber–Derived Chemical 6PPD‐Quinone.” </w:t>
      </w:r>
      <w:r w:rsidRPr="00461295">
        <w:rPr>
          <w:i/>
          <w:iCs/>
        </w:rPr>
        <w:t>Environmental Toxicology and Chemistry</w:t>
      </w:r>
      <w:r w:rsidRPr="00461295">
        <w:t>. https://doi.org/10.1002/etc.5875.</w:t>
      </w:r>
    </w:p>
    <w:p w14:paraId="7BB22EA3" w14:textId="77777777" w:rsidR="00461295" w:rsidRPr="00461295" w:rsidRDefault="00461295" w:rsidP="00C3317D">
      <w:pPr>
        <w:pStyle w:val="Bibliography"/>
        <w:spacing w:after="240"/>
      </w:pPr>
      <w:r w:rsidRPr="00461295">
        <w:t xml:space="preserve">Greer, Justin B., Ellie M. Dalsky, Rachael F. Lane, and John D. Hansen. 2023a. “Establishing an In Vitro Model to Assess the Toxicity of 6PPD-Quinone and Other Tire Wear Transformation Products.” </w:t>
      </w:r>
      <w:r w:rsidRPr="00461295">
        <w:rPr>
          <w:i/>
          <w:iCs/>
        </w:rPr>
        <w:t>Environmental Science &amp; Technology Letters</w:t>
      </w:r>
      <w:r w:rsidRPr="00461295">
        <w:t>, May. https://doi.org/10.1021/acs.estlett.3c00196.</w:t>
      </w:r>
    </w:p>
    <w:p w14:paraId="7DB40A9D" w14:textId="77777777" w:rsidR="00461295" w:rsidRPr="00461295" w:rsidRDefault="00461295" w:rsidP="00C3317D">
      <w:pPr>
        <w:pStyle w:val="Bibliography"/>
        <w:spacing w:after="240"/>
      </w:pPr>
      <w:r w:rsidRPr="00461295">
        <w:t xml:space="preserve">———. 2023b. “Tire-Derived Transformation Product 6PPD-Quinone Induces Mortality and Transcriptionally Disrupts Vascular Permeability Pathways in Developing Coho Salmon.” </w:t>
      </w:r>
      <w:r w:rsidRPr="00461295">
        <w:rPr>
          <w:i/>
          <w:iCs/>
        </w:rPr>
        <w:t>Environmental Science &amp; Technology</w:t>
      </w:r>
      <w:r w:rsidRPr="00461295">
        <w:t>, July. https://doi.org/10.1021/acs.est.3c01040.</w:t>
      </w:r>
    </w:p>
    <w:p w14:paraId="7F081C59" w14:textId="77777777" w:rsidR="00461295" w:rsidRPr="00461295" w:rsidRDefault="00461295" w:rsidP="00C3317D">
      <w:pPr>
        <w:pStyle w:val="Bibliography"/>
        <w:spacing w:after="240"/>
      </w:pPr>
      <w:r w:rsidRPr="00461295">
        <w:t xml:space="preserve">Hiki, Kyoshiro, Kenta Asahina, Kota Kato, Takahiro Yamagishi, Ryo Omagari, Yuichi Iwasaki, Haruna Watanabe, and Hiroshi Yamamoto. 2021. “Acute Toxicity of a Tire Rubber–Derived Chemical, 6PPD Quinone, to Freshwater Fish and Crustacean Species.” </w:t>
      </w:r>
      <w:r w:rsidRPr="00461295">
        <w:rPr>
          <w:i/>
          <w:iCs/>
        </w:rPr>
        <w:t>Environmental Science &amp; Technology Letters</w:t>
      </w:r>
      <w:r w:rsidRPr="00461295">
        <w:t xml:space="preserve"> 8 (9): 779–84. https://doi.org/10.1021/acs.estlett.1c00453.</w:t>
      </w:r>
    </w:p>
    <w:p w14:paraId="75347126" w14:textId="77777777" w:rsidR="00461295" w:rsidRPr="00461295" w:rsidRDefault="00461295" w:rsidP="00C3317D">
      <w:pPr>
        <w:pStyle w:val="Bibliography"/>
        <w:spacing w:after="240"/>
      </w:pPr>
      <w:r w:rsidRPr="00461295">
        <w:t xml:space="preserve">Hiki, Kyoshiro, and Hiroshi Yamamoto. 2022. “The Tire-Derived Chemical 6PPD-Quinone Is Lethally Toxic to the White-Spotted Char </w:t>
      </w:r>
      <w:r w:rsidRPr="00461295">
        <w:rPr>
          <w:i/>
          <w:iCs/>
        </w:rPr>
        <w:t>Salvelinus leucomaenis pluvius</w:t>
      </w:r>
      <w:r w:rsidRPr="00461295">
        <w:t xml:space="preserve"> but Not to Two Other Salmonid Species.” </w:t>
      </w:r>
      <w:r w:rsidRPr="00461295">
        <w:rPr>
          <w:i/>
          <w:iCs/>
        </w:rPr>
        <w:t>Environmental Science &amp; Technology Letters</w:t>
      </w:r>
      <w:r w:rsidRPr="00461295">
        <w:t xml:space="preserve"> 9 (12): 1050–55. https://doi.org/10.1021/acs.estlett.2c00683.</w:t>
      </w:r>
    </w:p>
    <w:p w14:paraId="77E5B184" w14:textId="77777777" w:rsidR="00461295" w:rsidRPr="00461295" w:rsidRDefault="00461295" w:rsidP="00C3317D">
      <w:pPr>
        <w:pStyle w:val="Bibliography"/>
        <w:spacing w:after="240"/>
      </w:pPr>
      <w:r w:rsidRPr="00461295">
        <w:t xml:space="preserve">Hua, Xin, Xiao Feng, Geyu Liang, Jie Chao, and Dayong Wang. 2023a. “Exposure to 6-PPD Quinone at Environmentally Relevant Concentrations Causes Abnormal Locomotion Behaviors and Neurodegeneration in </w:t>
      </w:r>
      <w:r w:rsidRPr="00461295">
        <w:rPr>
          <w:i/>
          <w:iCs/>
        </w:rPr>
        <w:t>Caenorhabditis elegans</w:t>
      </w:r>
      <w:r w:rsidRPr="00461295">
        <w:t xml:space="preserve">.” </w:t>
      </w:r>
      <w:r w:rsidRPr="00461295">
        <w:rPr>
          <w:i/>
          <w:iCs/>
        </w:rPr>
        <w:t>Environmental Science &amp; Technology</w:t>
      </w:r>
      <w:r w:rsidRPr="00461295">
        <w:t>, March. https://doi.org/10.1021/acs.est.2c08644.</w:t>
      </w:r>
    </w:p>
    <w:p w14:paraId="41D818C1" w14:textId="77777777" w:rsidR="00461295" w:rsidRPr="00461295" w:rsidRDefault="00461295" w:rsidP="00C3317D">
      <w:pPr>
        <w:pStyle w:val="Bibliography"/>
        <w:spacing w:after="240"/>
      </w:pPr>
      <w:r w:rsidRPr="00461295">
        <w:t xml:space="preserve">———. 2023b. “Long-Term Exposure to 6-PPD Quinone Reduces Reproductive Capacity by Enhancing Germline Apoptosis Associated with Activation of Both DNA Damage and Cell Corpse Engulfment in Caenorhabditis Elegans.” </w:t>
      </w:r>
      <w:r w:rsidRPr="00461295">
        <w:rPr>
          <w:i/>
          <w:iCs/>
        </w:rPr>
        <w:t>Journal of Hazardous Materials</w:t>
      </w:r>
      <w:r w:rsidRPr="00461295">
        <w:t xml:space="preserve"> 454 (July):131495. https://doi.org/10.1016/j.jhazmat.2023.131495.</w:t>
      </w:r>
    </w:p>
    <w:p w14:paraId="1A3A6B13" w14:textId="77777777" w:rsidR="00461295" w:rsidRPr="00461295" w:rsidRDefault="00461295" w:rsidP="00C3317D">
      <w:pPr>
        <w:pStyle w:val="Bibliography"/>
        <w:spacing w:after="240"/>
      </w:pPr>
      <w:r w:rsidRPr="00461295">
        <w:t xml:space="preserve">———. 2023c. “Long-Term Exposure to Tire-Derived 6-PPD Quinone Causes Intestinal Toxicity by Affecting Functional State of Intestinal Barrier in Caenorhabditis Elegans.” </w:t>
      </w:r>
      <w:r w:rsidRPr="00461295">
        <w:rPr>
          <w:i/>
          <w:iCs/>
        </w:rPr>
        <w:t>Science of The Total Environment</w:t>
      </w:r>
      <w:r w:rsidRPr="00461295">
        <w:t xml:space="preserve"> 861 (February):160591. https://doi.org/10.1016/j.scitotenv.2022.160591.</w:t>
      </w:r>
    </w:p>
    <w:p w14:paraId="4E2A6BE7" w14:textId="77777777" w:rsidR="00461295" w:rsidRPr="00461295" w:rsidRDefault="00461295" w:rsidP="00C3317D">
      <w:pPr>
        <w:pStyle w:val="Bibliography"/>
        <w:spacing w:after="240"/>
      </w:pPr>
      <w:r w:rsidRPr="00461295">
        <w:t xml:space="preserve">Ji, Jiawen, Jinze Huang, Niannian Cao, Xianghong Hao, Yanhua Wu, Yongqiang Ma, Dong An, Sen Pang, and Xuefeng Li. 2022. “Multiview Behavior and Neurotransmitter Analysis of Zebrafish Dyskinesia Induced by 6PPD and Its Metabolites.” </w:t>
      </w:r>
      <w:r w:rsidRPr="00461295">
        <w:rPr>
          <w:i/>
          <w:iCs/>
        </w:rPr>
        <w:t>Science of the Total Environment</w:t>
      </w:r>
      <w:r w:rsidRPr="00461295">
        <w:t xml:space="preserve"> 838:156013.</w:t>
      </w:r>
    </w:p>
    <w:p w14:paraId="4C7A5901" w14:textId="77777777" w:rsidR="00461295" w:rsidRPr="00461295" w:rsidRDefault="00461295" w:rsidP="00C3317D">
      <w:pPr>
        <w:pStyle w:val="Bibliography"/>
        <w:spacing w:after="240"/>
      </w:pPr>
      <w:r w:rsidRPr="00461295">
        <w:t xml:space="preserve">Klauschies, Toni, and Jana Isanta-Navarro. 2022. “The Joint Effects of Salt and 6PPD Contamination on a Freshwater Herbivore.” </w:t>
      </w:r>
      <w:r w:rsidRPr="00461295">
        <w:rPr>
          <w:i/>
          <w:iCs/>
        </w:rPr>
        <w:t>Science of the Total Environment</w:t>
      </w:r>
      <w:r w:rsidRPr="00461295">
        <w:t xml:space="preserve"> 829 (July):154675. https://doi.org/10.1016/j.scitotenv.2022.154675.</w:t>
      </w:r>
    </w:p>
    <w:p w14:paraId="0CB55E46" w14:textId="77777777" w:rsidR="00461295" w:rsidRPr="00461295" w:rsidRDefault="00461295" w:rsidP="00C3317D">
      <w:pPr>
        <w:pStyle w:val="Bibliography"/>
        <w:spacing w:after="240"/>
      </w:pPr>
      <w:r w:rsidRPr="00461295">
        <w:t>Lo, Bonnie P., Vicki L. Marlatt, Xiangjun Liao, Sofya Reger, Carys Gallilee, Andrew R.S. Ross, and Tanya M. Brown. 2023. “Acute Toxicity of 6PPD‐Quinone to Early Life Stage Juvenile Chinook (</w:t>
      </w:r>
      <w:r w:rsidRPr="00461295">
        <w:rPr>
          <w:i/>
          <w:iCs/>
        </w:rPr>
        <w:t>Oncorhynchus tshawytscha</w:t>
      </w:r>
      <w:r w:rsidRPr="00461295">
        <w:t>) and Coho (</w:t>
      </w:r>
      <w:r w:rsidRPr="00461295">
        <w:rPr>
          <w:i/>
          <w:iCs/>
        </w:rPr>
        <w:t>Oncorhynchus kisutch</w:t>
      </w:r>
      <w:r w:rsidRPr="00461295">
        <w:t xml:space="preserve">) Salmon.” </w:t>
      </w:r>
      <w:r w:rsidRPr="00461295">
        <w:rPr>
          <w:i/>
          <w:iCs/>
        </w:rPr>
        <w:t>Environmental Toxicology and Chemistry</w:t>
      </w:r>
      <w:r w:rsidRPr="00461295">
        <w:t xml:space="preserve"> 42 (4): 815–22. https://doi.org/10.1002/etc.5568.</w:t>
      </w:r>
    </w:p>
    <w:p w14:paraId="24EE4DEA" w14:textId="77777777" w:rsidR="00461295" w:rsidRPr="00461295" w:rsidRDefault="00461295" w:rsidP="00C3317D">
      <w:pPr>
        <w:pStyle w:val="Bibliography"/>
        <w:spacing w:after="240"/>
      </w:pPr>
      <w:r w:rsidRPr="00461295">
        <w:t xml:space="preserve">Maji, Usha Jyoti, Kyuhyeong Kim, In-Cheol Yeo, Kyu-Young Shim, and Chang-Bum Jeong. 2023. “Toxicological Effects of Tire Rubber–Derived 6PPD-Quinone, a Species-Specific Toxicant, and Dithiobisbenzanilide (DTBBA) in the Marine Rotifer </w:t>
      </w:r>
      <w:r w:rsidRPr="00461295">
        <w:rPr>
          <w:i/>
          <w:iCs/>
        </w:rPr>
        <w:t>Brachionus koreanus</w:t>
      </w:r>
      <w:r w:rsidRPr="00461295">
        <w:t xml:space="preserve">.” </w:t>
      </w:r>
      <w:r w:rsidRPr="00461295">
        <w:rPr>
          <w:i/>
          <w:iCs/>
        </w:rPr>
        <w:t>Marine Pollution Bulletin</w:t>
      </w:r>
      <w:r w:rsidRPr="00461295">
        <w:t xml:space="preserve"> 192 (July):115002. https://doi.org/10.1016/j.marpolbul.2023.115002.</w:t>
      </w:r>
    </w:p>
    <w:p w14:paraId="652FE378" w14:textId="77777777" w:rsidR="00461295" w:rsidRPr="00461295" w:rsidRDefault="00461295" w:rsidP="00C3317D">
      <w:pPr>
        <w:pStyle w:val="Bibliography"/>
        <w:spacing w:after="240"/>
      </w:pPr>
      <w:r w:rsidRPr="00461295">
        <w:t xml:space="preserve">Monsanto Company. 1978. “Acute Toxicity of Santoflex 13 (BN-78-1384316) to the Freshwater Alga </w:t>
      </w:r>
      <w:r w:rsidRPr="00461295">
        <w:rPr>
          <w:i/>
          <w:iCs/>
        </w:rPr>
        <w:t>Selenastrum capricornutum</w:t>
      </w:r>
      <w:r w:rsidRPr="00461295">
        <w:t>.” Unpublished study No. BN-78-362.</w:t>
      </w:r>
    </w:p>
    <w:p w14:paraId="79366E26" w14:textId="77777777" w:rsidR="00461295" w:rsidRPr="00461295" w:rsidRDefault="00461295" w:rsidP="00C3317D">
      <w:pPr>
        <w:pStyle w:val="Bibliography"/>
        <w:spacing w:after="240"/>
      </w:pPr>
      <w:r w:rsidRPr="00461295">
        <w:t>Montgomery, David, Xiaowen Ji, Jenna Cantin, Danielle Philibert, Garrett Foster, Summer Selinger, Niteesh Jain, et al. 2023. “Not Yet Peer Reviewed: Toxicokinetic Characterization of the Inter-Species Differences in 6PPD-Quinone Toxicity Across Seven Fish Species: Metabolite Identification and Semi-Quantification.” bioRxiv. https://doi.org/10.1101/2023.08.18.553920.</w:t>
      </w:r>
    </w:p>
    <w:p w14:paraId="382C95CD" w14:textId="77777777" w:rsidR="00461295" w:rsidRPr="00461295" w:rsidRDefault="00461295" w:rsidP="00C3317D">
      <w:pPr>
        <w:pStyle w:val="Bibliography"/>
        <w:spacing w:after="240"/>
      </w:pPr>
      <w:r w:rsidRPr="00461295">
        <w:t>Nair, Pranav, Jianxian Sun, Linna Xie, Lisa Kennedy, Derek Kozakiewicz, Sonya Kleywegt, Chunyan Hao, et al. 2023. “Not Yet Peer Reviewed: Synthesis and Toxicity Evaluation of Tire Rubber–Derived Quinones.” Preprint. Chemistry. https://doi.org/10.26434/chemrxiv-2023-pmxvc.</w:t>
      </w:r>
    </w:p>
    <w:p w14:paraId="217BA5D4" w14:textId="77777777" w:rsidR="00461295" w:rsidRPr="00461295" w:rsidRDefault="00461295" w:rsidP="00C3317D">
      <w:pPr>
        <w:pStyle w:val="Bibliography"/>
        <w:spacing w:after="240"/>
      </w:pPr>
      <w:r w:rsidRPr="00461295">
        <w:t xml:space="preserve">Peng, Weijuan, Chunsheng Liu, Daqing Chen, Xinbin Duan, and Liqiao Zhong. 2022. “Exposure to N-(1,3-Dimethylbutyl)-N’-Phenyl-p-Phenylenediamine (6PPD) Affects the Growth and Development of Zebrafish Embryos/Larvae.” </w:t>
      </w:r>
      <w:r w:rsidRPr="00461295">
        <w:rPr>
          <w:i/>
          <w:iCs/>
        </w:rPr>
        <w:t>Ecotoxicology and Environmental Safety</w:t>
      </w:r>
      <w:r w:rsidRPr="00461295">
        <w:t xml:space="preserve"> 232 (113221). https://doi.org/doi.org/10.1016/j.ecoenv.2022.113221.</w:t>
      </w:r>
    </w:p>
    <w:p w14:paraId="1F956D04" w14:textId="77777777" w:rsidR="00461295" w:rsidRPr="00461295" w:rsidRDefault="00461295" w:rsidP="00C3317D">
      <w:pPr>
        <w:pStyle w:val="Bibliography"/>
        <w:spacing w:after="240"/>
      </w:pPr>
      <w:r w:rsidRPr="00461295">
        <w:lastRenderedPageBreak/>
        <w:t>Philibert, Danielle, Ryan S. Stanton, Christine Tang, Naomi L. Stock, Tillmann Benfey, Michael Pirrung, and Benjamin de Jourdan. 2024. “The Lethal and Sublethal Impacts of Two Tire Rubber–Derived Chemicals on Brook Trout (</w:t>
      </w:r>
      <w:r w:rsidRPr="00461295">
        <w:rPr>
          <w:i/>
          <w:iCs/>
        </w:rPr>
        <w:t>Salvelinus fontinalis</w:t>
      </w:r>
      <w:r w:rsidRPr="00461295">
        <w:t xml:space="preserve">) Fry and Fingerlings.” </w:t>
      </w:r>
      <w:r w:rsidRPr="00461295">
        <w:rPr>
          <w:i/>
          <w:iCs/>
        </w:rPr>
        <w:t>Chemosphere</w:t>
      </w:r>
      <w:r w:rsidRPr="00461295">
        <w:t>, May. https://doi.org/10.1016/j.chemosphere.2024.142319.</w:t>
      </w:r>
    </w:p>
    <w:p w14:paraId="4283F25E" w14:textId="77777777" w:rsidR="00461295" w:rsidRPr="00461295" w:rsidRDefault="00461295" w:rsidP="00C3317D">
      <w:pPr>
        <w:pStyle w:val="Bibliography"/>
        <w:spacing w:after="240"/>
      </w:pPr>
      <w:r w:rsidRPr="00461295">
        <w:t xml:space="preserve">Prosser, R. S., A. J. Bartlett, D. Milani, E. A. M. Holman, H. Ikert, D. Schissler, J. Toito, J. L. Parrott, P. L. Gillis, and V. K. Balakrishnan. 2017. “Variation in the Toxicity of Sediment-Associated Substituted Phenylamine Antioxidants to an Epibenthic (Hyalella Azteca) and Endobenthic (Tubifex Tubifex) Invertebrate.” </w:t>
      </w:r>
      <w:r w:rsidRPr="00461295">
        <w:rPr>
          <w:i/>
          <w:iCs/>
        </w:rPr>
        <w:t>Chemosphere</w:t>
      </w:r>
      <w:r w:rsidRPr="00461295">
        <w:t xml:space="preserve"> 181 (August):250–58. https://doi.org/10.1016/j.chemosphere.2017.04.066.</w:t>
      </w:r>
    </w:p>
    <w:p w14:paraId="5AF5D7AA" w14:textId="77777777" w:rsidR="00461295" w:rsidRPr="00461295" w:rsidRDefault="00461295" w:rsidP="00C3317D">
      <w:pPr>
        <w:pStyle w:val="Bibliography"/>
        <w:spacing w:after="240"/>
      </w:pPr>
      <w:r w:rsidRPr="00461295">
        <w:t xml:space="preserve">Prosser, R. S., J. Salole, and S. Hang. 2023. “Toxicity of 6PPD-Quinone to Four Freshwater Invertebrate Species.” </w:t>
      </w:r>
      <w:r w:rsidRPr="00461295">
        <w:rPr>
          <w:i/>
          <w:iCs/>
        </w:rPr>
        <w:t>Environmental Pollution</w:t>
      </w:r>
      <w:r w:rsidRPr="00461295">
        <w:t>, September, 122512. https://doi.org/10.1016/j.envpol.2023.122512.</w:t>
      </w:r>
    </w:p>
    <w:p w14:paraId="245F7498" w14:textId="77777777" w:rsidR="00461295" w:rsidRPr="00461295" w:rsidRDefault="00461295" w:rsidP="00C3317D">
      <w:pPr>
        <w:pStyle w:val="Bibliography"/>
        <w:spacing w:after="240"/>
      </w:pPr>
      <w:r w:rsidRPr="00461295">
        <w:t xml:space="preserve">Prosser, R.S., P.L. Gillis, E.A.M. Holman, D. Schissler, H. Ikert, J. Toito, E. Gilroy, et al. 2017. “Effect of Substituted Phenylamine Antioxidants on Three Life Stages of the Freshwater Mussel </w:t>
      </w:r>
      <w:r w:rsidRPr="00461295">
        <w:rPr>
          <w:i/>
          <w:iCs/>
        </w:rPr>
        <w:t>Lampsilis Siliquoidea</w:t>
      </w:r>
      <w:r w:rsidRPr="00461295">
        <w:t xml:space="preserve">.” </w:t>
      </w:r>
      <w:r w:rsidRPr="00461295">
        <w:rPr>
          <w:i/>
          <w:iCs/>
        </w:rPr>
        <w:t>Environmental Pollution</w:t>
      </w:r>
      <w:r w:rsidRPr="00461295">
        <w:t xml:space="preserve"> 229 (October):281–89. https://doi.org/10.1016/j.envpol.2017.05.086.</w:t>
      </w:r>
    </w:p>
    <w:p w14:paraId="7D08AAE8" w14:textId="77777777" w:rsidR="00461295" w:rsidRPr="00461295" w:rsidRDefault="00461295" w:rsidP="00C3317D">
      <w:pPr>
        <w:pStyle w:val="Bibliography"/>
        <w:spacing w:after="240"/>
      </w:pPr>
      <w:r w:rsidRPr="00461295">
        <w:t xml:space="preserve">Prosser, Ryan S., Joanne L. Parrott, Melissa Galicia, Kallie Shires, Cheryl Sullivan, John Toito, Adrienne J. Bartlett, Danielle Milani, Patty L. Gillis, and Vimal K. Balakrishnan. 2017. “Toxicity of Sediment-Associated Substituted Phenylamine Antioxidants on the Early Life Stages of </w:t>
      </w:r>
      <w:r w:rsidRPr="00461295">
        <w:rPr>
          <w:i/>
          <w:iCs/>
        </w:rPr>
        <w:t>Pimephales promelas</w:t>
      </w:r>
      <w:r w:rsidRPr="00461295">
        <w:t xml:space="preserve"> and a Characterization of Effects on Freshwater Organisms.” </w:t>
      </w:r>
      <w:r w:rsidRPr="00461295">
        <w:rPr>
          <w:i/>
          <w:iCs/>
        </w:rPr>
        <w:t>Environmental Toxicology and Chemistry</w:t>
      </w:r>
      <w:r w:rsidRPr="00461295">
        <w:t xml:space="preserve"> 36 (10): 2730–38. https://doi.org/10.1002/etc.3828.</w:t>
      </w:r>
    </w:p>
    <w:p w14:paraId="50916F41" w14:textId="77777777" w:rsidR="00461295" w:rsidRPr="00461295" w:rsidRDefault="00461295" w:rsidP="00C3317D">
      <w:pPr>
        <w:pStyle w:val="Bibliography"/>
        <w:spacing w:after="240"/>
      </w:pPr>
      <w:r w:rsidRPr="00461295">
        <w:t>Roberts, Catherine, Junyi Lin, Evan Kohlman, Niteesh Jain, Mawuli Amekor, Alper James Alcaraz, Natacha Hogan, Markus Hecker, and Markus Brinkmann. 2024. “Acute and Sub-Chronic Toxicity of 6PPD-Quinone to Early-Life Stage Lake Trout (</w:t>
      </w:r>
      <w:r w:rsidRPr="00461295">
        <w:rPr>
          <w:i/>
          <w:iCs/>
        </w:rPr>
        <w:t>Salvelinus namaycush</w:t>
      </w:r>
      <w:r w:rsidRPr="00461295">
        <w:t>).” bioRxiv. https://doi.org/10.1101/2024.03.26.586843.</w:t>
      </w:r>
    </w:p>
    <w:p w14:paraId="7665FCE2" w14:textId="77777777" w:rsidR="00461295" w:rsidRPr="00461295" w:rsidRDefault="00461295" w:rsidP="00C3317D">
      <w:pPr>
        <w:pStyle w:val="Bibliography"/>
        <w:spacing w:after="240"/>
      </w:pPr>
      <w:r w:rsidRPr="00461295">
        <w:t xml:space="preserve">Tian, Zhenyu, Melissa Gonzalez, Craig A. Rideout, Haoqi Nina Zhao, Ximin Hu, Jill Wetzel, Emma Mudrock, C. Andrew James, Jenifer K. McIntyre, and Edward P. Kolodziej. 2022. “6PPD-Quinone: Revised Toxicity Assessment and Quantification with a Commercial Standard.” </w:t>
      </w:r>
      <w:r w:rsidRPr="00461295">
        <w:rPr>
          <w:i/>
          <w:iCs/>
        </w:rPr>
        <w:t>Environmental Science &amp; Technology Letters</w:t>
      </w:r>
      <w:r w:rsidRPr="00461295">
        <w:t>, January, acs.estlett.1c00910. https://doi.org/10.1021/acs.estlett.1c00910.</w:t>
      </w:r>
    </w:p>
    <w:p w14:paraId="41A35600" w14:textId="77777777" w:rsidR="00461295" w:rsidRPr="00461295" w:rsidRDefault="00461295" w:rsidP="00C3317D">
      <w:pPr>
        <w:pStyle w:val="Bibliography"/>
        <w:spacing w:after="240"/>
      </w:pPr>
      <w:r w:rsidRPr="00461295">
        <w:t xml:space="preserve">Tian, Zhenyu, Haoqi Zhao, Katherine T. Peter, Melissa Gonzalez, Jill Wetzel, Christopher Wu, Ximin Hu, et al. 2021. “A Ubiquitous Tire Rubber–Derived Chemical Induces Acute Mortality in Coho Salmon.” </w:t>
      </w:r>
      <w:r w:rsidRPr="00461295">
        <w:rPr>
          <w:i/>
          <w:iCs/>
        </w:rPr>
        <w:t>Science</w:t>
      </w:r>
      <w:r w:rsidRPr="00461295">
        <w:t xml:space="preserve"> 371 (6525): 185–89. https://doi.org/10.1126/science.abd6951.</w:t>
      </w:r>
    </w:p>
    <w:p w14:paraId="3227070E" w14:textId="77777777" w:rsidR="00461295" w:rsidRPr="00461295" w:rsidRDefault="00461295" w:rsidP="00C3317D">
      <w:pPr>
        <w:pStyle w:val="Bibliography"/>
        <w:spacing w:after="240"/>
      </w:pPr>
      <w:r w:rsidRPr="00461295">
        <w:t xml:space="preserve">Varshney, Shubham, Adnan H. Gora, Prabhugouda Siriyappagouder, Viswanath Kiron, and Pål A. Olsvik. 2022. “Toxicological Effects of 6PPD and 6PPD Quinone in Zebrafish Larvae.” </w:t>
      </w:r>
      <w:r w:rsidRPr="00461295">
        <w:rPr>
          <w:i/>
          <w:iCs/>
        </w:rPr>
        <w:t>Journal of Hazardous Materials</w:t>
      </w:r>
      <w:r w:rsidRPr="00461295">
        <w:t xml:space="preserve"> 424 (February):127623. https://doi.org/10.1016/j.jhazmat.2021.127623.</w:t>
      </w:r>
    </w:p>
    <w:p w14:paraId="1E4681C0" w14:textId="77777777" w:rsidR="00461295" w:rsidRPr="00461295" w:rsidRDefault="00461295" w:rsidP="00C3317D">
      <w:pPr>
        <w:pStyle w:val="Bibliography"/>
        <w:spacing w:after="240"/>
      </w:pPr>
      <w:r w:rsidRPr="00461295">
        <w:t xml:space="preserve">Wu, Jiabin, Guodong Cao, Feng Zhang, and Zongwei Cai. 2023. “A New Toxicity Mechanism of </w:t>
      </w:r>
      <w:r w:rsidRPr="00461295">
        <w:rPr>
          <w:i/>
          <w:iCs/>
        </w:rPr>
        <w:t>N-</w:t>
      </w:r>
      <w:r w:rsidRPr="00461295">
        <w:t>(1,3-Dimethylbutyl)-</w:t>
      </w:r>
      <w:r w:rsidRPr="00461295">
        <w:rPr>
          <w:i/>
          <w:iCs/>
        </w:rPr>
        <w:t>N′</w:t>
      </w:r>
      <w:r w:rsidRPr="00461295">
        <w:t>-Phenyl-</w:t>
      </w:r>
      <w:r w:rsidRPr="00461295">
        <w:rPr>
          <w:i/>
          <w:iCs/>
        </w:rPr>
        <w:t>p-</w:t>
      </w:r>
      <w:r w:rsidRPr="00461295">
        <w:t xml:space="preserve">Phenylenediamine Quinone: Formation of DNA Adducts in Mammalian Cells and Aqueous Organisms.” </w:t>
      </w:r>
      <w:r w:rsidRPr="00461295">
        <w:rPr>
          <w:i/>
          <w:iCs/>
        </w:rPr>
        <w:t>Science of the Total Environment</w:t>
      </w:r>
      <w:r w:rsidRPr="00461295">
        <w:t xml:space="preserve"> 866 (March):161373. https://doi.org/10.1016/j.scitotenv.2022.161373.</w:t>
      </w:r>
    </w:p>
    <w:p w14:paraId="11EC582D" w14:textId="77777777" w:rsidR="00461295" w:rsidRPr="00461295" w:rsidRDefault="00461295" w:rsidP="00C3317D">
      <w:pPr>
        <w:pStyle w:val="Bibliography"/>
        <w:spacing w:after="240"/>
      </w:pPr>
      <w:r w:rsidRPr="00461295">
        <w:t>Xu, Qiao, Wei Wu, Zufei Xiao, Xin Sun, Jun Ma, Jing Ding, Zhe Zhu, and Gang Li. 2023. “Responses of Soil and Collembolan (</w:t>
      </w:r>
      <w:r w:rsidRPr="00461295">
        <w:rPr>
          <w:i/>
          <w:iCs/>
        </w:rPr>
        <w:t>Folsomia candida</w:t>
      </w:r>
      <w:r w:rsidRPr="00461295">
        <w:t xml:space="preserve">) Gut Microbiomes to 6PPD-Q Pollution.” </w:t>
      </w:r>
      <w:r w:rsidRPr="00461295">
        <w:rPr>
          <w:i/>
          <w:iCs/>
        </w:rPr>
        <w:t>Science of the Total Environment</w:t>
      </w:r>
      <w:r w:rsidRPr="00461295">
        <w:t xml:space="preserve"> 900 (November):165810. https://doi.org/10.1016/j.scitotenv.2023.165810.</w:t>
      </w:r>
    </w:p>
    <w:p w14:paraId="61BEFE14" w14:textId="285697E1" w:rsidR="00BB3919" w:rsidRDefault="00CE11E1" w:rsidP="00C3317D">
      <w:r>
        <w:fldChar w:fldCharType="end"/>
      </w:r>
    </w:p>
    <w:p w14:paraId="10F38D66" w14:textId="77777777" w:rsidR="00BB3919" w:rsidRPr="00F966F6" w:rsidRDefault="00BB3919" w:rsidP="00C3317D"/>
    <w:sectPr w:rsidR="00BB3919" w:rsidRPr="00F966F6" w:rsidSect="008C1140">
      <w:headerReference w:type="default" r:id="rId11"/>
      <w:footerReference w:type="default" r:id="rId12"/>
      <w:footnotePr>
        <w:numRestart w:val="eachSect"/>
      </w:footnotePr>
      <w:endnotePr>
        <w:numFmt w:val="decimal"/>
      </w:endnotePr>
      <w:pgSz w:w="15840" w:h="2448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80CE" w14:textId="77777777" w:rsidR="001A79EE" w:rsidRDefault="001A79EE">
      <w:r>
        <w:separator/>
      </w:r>
    </w:p>
    <w:p w14:paraId="1DAD384E" w14:textId="77777777" w:rsidR="001A79EE" w:rsidRDefault="001A79EE"/>
  </w:endnote>
  <w:endnote w:type="continuationSeparator" w:id="0">
    <w:p w14:paraId="0860B442" w14:textId="77777777" w:rsidR="001A79EE" w:rsidRDefault="001A79EE">
      <w:r>
        <w:continuationSeparator/>
      </w:r>
    </w:p>
    <w:p w14:paraId="00EFEDF8" w14:textId="77777777" w:rsidR="001A79EE" w:rsidRDefault="001A7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EB43" w14:textId="75DDBB53" w:rsidR="007258F3" w:rsidRPr="00D42623" w:rsidRDefault="001213A9" w:rsidP="001213A9">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734CFF">
      <w:rPr>
        <w:rStyle w:val="PageNumber"/>
        <w:rFonts w:eastAsiaTheme="majorEastAsia"/>
      </w:rPr>
      <w:t>3</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73308" w14:textId="77777777" w:rsidR="001A79EE" w:rsidRDefault="001A79EE">
      <w:r>
        <w:separator/>
      </w:r>
    </w:p>
    <w:p w14:paraId="4E1D9B63" w14:textId="77777777" w:rsidR="001A79EE" w:rsidRDefault="001A79EE"/>
  </w:footnote>
  <w:footnote w:type="continuationSeparator" w:id="0">
    <w:p w14:paraId="67B3A18E" w14:textId="77777777" w:rsidR="001A79EE" w:rsidRDefault="001A79EE">
      <w:r>
        <w:continuationSeparator/>
      </w:r>
    </w:p>
    <w:p w14:paraId="7149B4E7" w14:textId="77777777" w:rsidR="001A79EE" w:rsidRDefault="001A7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0A487" w14:textId="511374DB" w:rsidR="00D074D5" w:rsidRDefault="00D074D5" w:rsidP="00D074D5">
    <w:pPr>
      <w:pStyle w:val="Header"/>
      <w:tabs>
        <w:tab w:val="clear" w:pos="8640"/>
        <w:tab w:val="right" w:pos="12960"/>
        <w:tab w:val="right" w:pos="14400"/>
      </w:tabs>
    </w:pPr>
    <w:r>
      <w:t xml:space="preserve">ITRC Tire Anti-Degradants (6PPD) Team </w:t>
    </w:r>
    <w:r>
      <w:tab/>
    </w:r>
    <w:r>
      <w:tab/>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CA1"/>
    <w:multiLevelType w:val="hybridMultilevel"/>
    <w:tmpl w:val="F4503754"/>
    <w:lvl w:ilvl="0" w:tplc="21FC46A6">
      <w:start w:val="1"/>
      <w:numFmt w:val="bullet"/>
      <w:lvlText w:val=""/>
      <w:lvlJc w:val="left"/>
      <w:pPr>
        <w:tabs>
          <w:tab w:val="num" w:pos="360"/>
        </w:tabs>
        <w:ind w:left="360" w:hanging="360"/>
      </w:pPr>
      <w:rPr>
        <w:rFonts w:ascii="Symbol" w:hAnsi="Symbol" w:cs="Times New Roman" w:hint="default"/>
      </w:rPr>
    </w:lvl>
    <w:lvl w:ilvl="1" w:tplc="CF0824F8">
      <w:start w:val="1"/>
      <w:numFmt w:val="bullet"/>
      <w:lvlText w:val=""/>
      <w:lvlJc w:val="left"/>
      <w:pPr>
        <w:tabs>
          <w:tab w:val="num" w:pos="1440"/>
        </w:tabs>
        <w:ind w:left="1440" w:hanging="360"/>
      </w:pPr>
      <w:rPr>
        <w:rFonts w:ascii="WP TypographicSymbols" w:hAnsi="WP TypographicSymbols" w:hint="default"/>
      </w:rPr>
    </w:lvl>
    <w:lvl w:ilvl="2" w:tplc="21FC46A6">
      <w:start w:val="1"/>
      <w:numFmt w:val="bullet"/>
      <w:lvlText w:val=""/>
      <w:lvlJc w:val="left"/>
      <w:pPr>
        <w:tabs>
          <w:tab w:val="num" w:pos="2160"/>
        </w:tabs>
        <w:ind w:left="2160" w:hanging="360"/>
      </w:pPr>
      <w:rPr>
        <w:rFonts w:ascii="Symbol"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151D1"/>
    <w:multiLevelType w:val="hybridMultilevel"/>
    <w:tmpl w:val="06F08F04"/>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E720D"/>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EA7B2B"/>
    <w:multiLevelType w:val="hybridMultilevel"/>
    <w:tmpl w:val="211A40E6"/>
    <w:lvl w:ilvl="0" w:tplc="DC3EF95E">
      <w:start w:val="1"/>
      <w:numFmt w:val="bullet"/>
      <w:pStyle w:val="ITRC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551FA"/>
    <w:multiLevelType w:val="hybridMultilevel"/>
    <w:tmpl w:val="38A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C2DDB"/>
    <w:multiLevelType w:val="singleLevel"/>
    <w:tmpl w:val="DAFEE1E6"/>
    <w:lvl w:ilvl="0">
      <w:start w:val="1"/>
      <w:numFmt w:val="decimal"/>
      <w:lvlText w:val="%1."/>
      <w:lvlJc w:val="left"/>
      <w:pPr>
        <w:tabs>
          <w:tab w:val="num" w:pos="1080"/>
        </w:tabs>
        <w:ind w:left="1080" w:hanging="360"/>
      </w:pPr>
      <w:rPr>
        <w:rFonts w:hint="default"/>
      </w:rPr>
    </w:lvl>
  </w:abstractNum>
  <w:abstractNum w:abstractNumId="6" w15:restartNumberingAfterBreak="0">
    <w:nsid w:val="102460FB"/>
    <w:multiLevelType w:val="hybridMultilevel"/>
    <w:tmpl w:val="A0C4E69E"/>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B55EC"/>
    <w:multiLevelType w:val="singleLevel"/>
    <w:tmpl w:val="FE28ED16"/>
    <w:lvl w:ilvl="0">
      <w:start w:val="1"/>
      <w:numFmt w:val="decimal"/>
      <w:lvlText w:val="%1."/>
      <w:lvlJc w:val="left"/>
      <w:pPr>
        <w:tabs>
          <w:tab w:val="num" w:pos="1080"/>
        </w:tabs>
        <w:ind w:left="1080" w:hanging="360"/>
      </w:pPr>
      <w:rPr>
        <w:rFonts w:hint="default"/>
      </w:rPr>
    </w:lvl>
  </w:abstractNum>
  <w:abstractNum w:abstractNumId="8" w15:restartNumberingAfterBreak="0">
    <w:nsid w:val="1EA275E0"/>
    <w:multiLevelType w:val="hybridMultilevel"/>
    <w:tmpl w:val="C3621E52"/>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C4E4F"/>
    <w:multiLevelType w:val="hybridMultilevel"/>
    <w:tmpl w:val="72E09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29252C"/>
    <w:multiLevelType w:val="hybridMultilevel"/>
    <w:tmpl w:val="84961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54896"/>
    <w:multiLevelType w:val="hybridMultilevel"/>
    <w:tmpl w:val="CCD6B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F3764"/>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781769"/>
    <w:multiLevelType w:val="hybridMultilevel"/>
    <w:tmpl w:val="9E300C06"/>
    <w:lvl w:ilvl="0" w:tplc="C054DE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21325"/>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C76A71"/>
    <w:multiLevelType w:val="multilevel"/>
    <w:tmpl w:val="5B36A5D2"/>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B851B50"/>
    <w:multiLevelType w:val="hybridMultilevel"/>
    <w:tmpl w:val="174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609A0"/>
    <w:multiLevelType w:val="hybridMultilevel"/>
    <w:tmpl w:val="D2B4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5705B"/>
    <w:multiLevelType w:val="hybridMultilevel"/>
    <w:tmpl w:val="3D7069EA"/>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2D1439"/>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DC6C0B"/>
    <w:multiLevelType w:val="hybridMultilevel"/>
    <w:tmpl w:val="0CF43F3C"/>
    <w:lvl w:ilvl="0" w:tplc="39642180">
      <w:start w:val="1"/>
      <w:numFmt w:val="upperLetter"/>
      <w:pStyle w:val="ITRCAppendix0lvlsectionheading"/>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C356F"/>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B2198F"/>
    <w:multiLevelType w:val="hybridMultilevel"/>
    <w:tmpl w:val="67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164"/>
    <w:multiLevelType w:val="hybridMultilevel"/>
    <w:tmpl w:val="72E0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1405D"/>
    <w:multiLevelType w:val="hybridMultilevel"/>
    <w:tmpl w:val="FB9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C7C1B"/>
    <w:multiLevelType w:val="multilevel"/>
    <w:tmpl w:val="2EACCF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4A4305F"/>
    <w:multiLevelType w:val="hybridMultilevel"/>
    <w:tmpl w:val="B2620F66"/>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73B6D"/>
    <w:multiLevelType w:val="hybridMultilevel"/>
    <w:tmpl w:val="AD9847C6"/>
    <w:lvl w:ilvl="0" w:tplc="F1E8E9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22CD0"/>
    <w:multiLevelType w:val="hybridMultilevel"/>
    <w:tmpl w:val="C5CCD0F0"/>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14F7F"/>
    <w:multiLevelType w:val="hybridMultilevel"/>
    <w:tmpl w:val="F7E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234B0"/>
    <w:multiLevelType w:val="hybridMultilevel"/>
    <w:tmpl w:val="1EF2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E4A30"/>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22075D9"/>
    <w:multiLevelType w:val="hybridMultilevel"/>
    <w:tmpl w:val="A9E8BB5C"/>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776AE3"/>
    <w:multiLevelType w:val="hybridMultilevel"/>
    <w:tmpl w:val="9DA40E76"/>
    <w:lvl w:ilvl="0" w:tplc="0CDCA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045880">
    <w:abstractNumId w:val="32"/>
  </w:num>
  <w:num w:numId="2" w16cid:durableId="1431271268">
    <w:abstractNumId w:val="8"/>
  </w:num>
  <w:num w:numId="3" w16cid:durableId="1958557675">
    <w:abstractNumId w:val="18"/>
  </w:num>
  <w:num w:numId="4" w16cid:durableId="967396169">
    <w:abstractNumId w:val="7"/>
  </w:num>
  <w:num w:numId="5" w16cid:durableId="1545143237">
    <w:abstractNumId w:val="5"/>
  </w:num>
  <w:num w:numId="6" w16cid:durableId="1072849369">
    <w:abstractNumId w:val="26"/>
  </w:num>
  <w:num w:numId="7" w16cid:durableId="1720323368">
    <w:abstractNumId w:val="0"/>
  </w:num>
  <w:num w:numId="8" w16cid:durableId="1085103742">
    <w:abstractNumId w:val="1"/>
  </w:num>
  <w:num w:numId="9" w16cid:durableId="2025016861">
    <w:abstractNumId w:val="6"/>
  </w:num>
  <w:num w:numId="10" w16cid:durableId="469904978">
    <w:abstractNumId w:val="28"/>
  </w:num>
  <w:num w:numId="11" w16cid:durableId="5638917">
    <w:abstractNumId w:val="27"/>
  </w:num>
  <w:num w:numId="12" w16cid:durableId="395981714">
    <w:abstractNumId w:val="13"/>
  </w:num>
  <w:num w:numId="13" w16cid:durableId="1710716403">
    <w:abstractNumId w:val="13"/>
  </w:num>
  <w:num w:numId="14" w16cid:durableId="320234202">
    <w:abstractNumId w:val="13"/>
  </w:num>
  <w:num w:numId="15" w16cid:durableId="1771927654">
    <w:abstractNumId w:val="13"/>
  </w:num>
  <w:num w:numId="16" w16cid:durableId="683558703">
    <w:abstractNumId w:val="13"/>
  </w:num>
  <w:num w:numId="17" w16cid:durableId="1917785924">
    <w:abstractNumId w:val="13"/>
  </w:num>
  <w:num w:numId="18" w16cid:durableId="1252818870">
    <w:abstractNumId w:val="13"/>
  </w:num>
  <w:num w:numId="19" w16cid:durableId="915434593">
    <w:abstractNumId w:val="13"/>
  </w:num>
  <w:num w:numId="20" w16cid:durableId="278269905">
    <w:abstractNumId w:val="13"/>
  </w:num>
  <w:num w:numId="21" w16cid:durableId="1993874612">
    <w:abstractNumId w:val="13"/>
  </w:num>
  <w:num w:numId="22" w16cid:durableId="585723067">
    <w:abstractNumId w:val="13"/>
  </w:num>
  <w:num w:numId="23" w16cid:durableId="1043288693">
    <w:abstractNumId w:val="13"/>
  </w:num>
  <w:num w:numId="24" w16cid:durableId="117795867">
    <w:abstractNumId w:val="3"/>
  </w:num>
  <w:num w:numId="25" w16cid:durableId="1040278697">
    <w:abstractNumId w:val="3"/>
  </w:num>
  <w:num w:numId="26" w16cid:durableId="64764499">
    <w:abstractNumId w:val="3"/>
  </w:num>
  <w:num w:numId="27" w16cid:durableId="526607166">
    <w:abstractNumId w:val="3"/>
  </w:num>
  <w:num w:numId="28" w16cid:durableId="1916892923">
    <w:abstractNumId w:val="11"/>
  </w:num>
  <w:num w:numId="29" w16cid:durableId="1295523944">
    <w:abstractNumId w:val="10"/>
  </w:num>
  <w:num w:numId="30" w16cid:durableId="2131901317">
    <w:abstractNumId w:val="25"/>
  </w:num>
  <w:num w:numId="31" w16cid:durableId="686102589">
    <w:abstractNumId w:val="22"/>
  </w:num>
  <w:num w:numId="32" w16cid:durableId="869609062">
    <w:abstractNumId w:val="16"/>
  </w:num>
  <w:num w:numId="33" w16cid:durableId="663706112">
    <w:abstractNumId w:val="30"/>
  </w:num>
  <w:num w:numId="34" w16cid:durableId="1025399506">
    <w:abstractNumId w:val="24"/>
  </w:num>
  <w:num w:numId="35" w16cid:durableId="646518286">
    <w:abstractNumId w:val="17"/>
  </w:num>
  <w:num w:numId="36" w16cid:durableId="319577889">
    <w:abstractNumId w:val="4"/>
  </w:num>
  <w:num w:numId="37" w16cid:durableId="214856523">
    <w:abstractNumId w:val="29"/>
  </w:num>
  <w:num w:numId="38" w16cid:durableId="1953393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1552923">
    <w:abstractNumId w:val="20"/>
  </w:num>
  <w:num w:numId="40" w16cid:durableId="259412027">
    <w:abstractNumId w:val="33"/>
  </w:num>
  <w:num w:numId="41" w16cid:durableId="1662611241">
    <w:abstractNumId w:val="14"/>
  </w:num>
  <w:num w:numId="42" w16cid:durableId="832985191">
    <w:abstractNumId w:val="12"/>
  </w:num>
  <w:num w:numId="43" w16cid:durableId="237907796">
    <w:abstractNumId w:val="2"/>
  </w:num>
  <w:num w:numId="44" w16cid:durableId="1422802276">
    <w:abstractNumId w:val="31"/>
  </w:num>
  <w:num w:numId="45" w16cid:durableId="1201015874">
    <w:abstractNumId w:val="21"/>
  </w:num>
  <w:num w:numId="46" w16cid:durableId="877090334">
    <w:abstractNumId w:val="19"/>
  </w:num>
  <w:num w:numId="47" w16cid:durableId="1003045112">
    <w:abstractNumId w:val="15"/>
  </w:num>
  <w:num w:numId="48" w16cid:durableId="1266380218">
    <w:abstractNumId w:val="23"/>
  </w:num>
  <w:num w:numId="49" w16cid:durableId="2064013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4D"/>
    <w:rsid w:val="000071C1"/>
    <w:rsid w:val="0000750E"/>
    <w:rsid w:val="00032C2C"/>
    <w:rsid w:val="000333EB"/>
    <w:rsid w:val="00036534"/>
    <w:rsid w:val="00037B59"/>
    <w:rsid w:val="00040BB5"/>
    <w:rsid w:val="000419CD"/>
    <w:rsid w:val="00046717"/>
    <w:rsid w:val="0004719C"/>
    <w:rsid w:val="000559BC"/>
    <w:rsid w:val="00056A5D"/>
    <w:rsid w:val="000625E3"/>
    <w:rsid w:val="00065F6D"/>
    <w:rsid w:val="0006745B"/>
    <w:rsid w:val="00092A16"/>
    <w:rsid w:val="000937D2"/>
    <w:rsid w:val="00094B1A"/>
    <w:rsid w:val="00095072"/>
    <w:rsid w:val="000A1BE0"/>
    <w:rsid w:val="000C0180"/>
    <w:rsid w:val="000C0F50"/>
    <w:rsid w:val="000C4AE8"/>
    <w:rsid w:val="000C5854"/>
    <w:rsid w:val="000C5F22"/>
    <w:rsid w:val="000D297E"/>
    <w:rsid w:val="000E373E"/>
    <w:rsid w:val="000E46EC"/>
    <w:rsid w:val="000F5DBF"/>
    <w:rsid w:val="00105B17"/>
    <w:rsid w:val="001112F3"/>
    <w:rsid w:val="00120BD0"/>
    <w:rsid w:val="001213A9"/>
    <w:rsid w:val="00125948"/>
    <w:rsid w:val="00125E47"/>
    <w:rsid w:val="0012797E"/>
    <w:rsid w:val="00142B1B"/>
    <w:rsid w:val="00143396"/>
    <w:rsid w:val="001461EA"/>
    <w:rsid w:val="00162476"/>
    <w:rsid w:val="00177A1D"/>
    <w:rsid w:val="0018615A"/>
    <w:rsid w:val="001A32AF"/>
    <w:rsid w:val="001A79EE"/>
    <w:rsid w:val="001B0446"/>
    <w:rsid w:val="001C44A2"/>
    <w:rsid w:val="001C53FE"/>
    <w:rsid w:val="001D1F90"/>
    <w:rsid w:val="001D68C1"/>
    <w:rsid w:val="001E08AF"/>
    <w:rsid w:val="001E4F0C"/>
    <w:rsid w:val="001F2F80"/>
    <w:rsid w:val="00201C2A"/>
    <w:rsid w:val="00201D80"/>
    <w:rsid w:val="00205B2A"/>
    <w:rsid w:val="00207DCC"/>
    <w:rsid w:val="00210EC9"/>
    <w:rsid w:val="00215F84"/>
    <w:rsid w:val="00221AAB"/>
    <w:rsid w:val="00224D2E"/>
    <w:rsid w:val="00227F11"/>
    <w:rsid w:val="002349DA"/>
    <w:rsid w:val="002401B1"/>
    <w:rsid w:val="002403CE"/>
    <w:rsid w:val="0024171F"/>
    <w:rsid w:val="00277985"/>
    <w:rsid w:val="00286E59"/>
    <w:rsid w:val="00290BBE"/>
    <w:rsid w:val="00297986"/>
    <w:rsid w:val="002B2027"/>
    <w:rsid w:val="002D3CE5"/>
    <w:rsid w:val="002D625A"/>
    <w:rsid w:val="002D79E0"/>
    <w:rsid w:val="002F3E7B"/>
    <w:rsid w:val="002F7457"/>
    <w:rsid w:val="0030187C"/>
    <w:rsid w:val="00303DA7"/>
    <w:rsid w:val="003045E6"/>
    <w:rsid w:val="0030583C"/>
    <w:rsid w:val="003122A0"/>
    <w:rsid w:val="00316E6B"/>
    <w:rsid w:val="00323371"/>
    <w:rsid w:val="00323ACA"/>
    <w:rsid w:val="00325977"/>
    <w:rsid w:val="00326BCB"/>
    <w:rsid w:val="00332E58"/>
    <w:rsid w:val="0034454C"/>
    <w:rsid w:val="003460CB"/>
    <w:rsid w:val="00350F6B"/>
    <w:rsid w:val="00360A7F"/>
    <w:rsid w:val="00364867"/>
    <w:rsid w:val="00375E69"/>
    <w:rsid w:val="00376EF3"/>
    <w:rsid w:val="0038390C"/>
    <w:rsid w:val="00386623"/>
    <w:rsid w:val="00387C23"/>
    <w:rsid w:val="003940B5"/>
    <w:rsid w:val="003A0765"/>
    <w:rsid w:val="003A2087"/>
    <w:rsid w:val="003A2AAD"/>
    <w:rsid w:val="003A74D2"/>
    <w:rsid w:val="003B346C"/>
    <w:rsid w:val="003C3677"/>
    <w:rsid w:val="003D287E"/>
    <w:rsid w:val="003D2E51"/>
    <w:rsid w:val="003D3AAA"/>
    <w:rsid w:val="003E3C9D"/>
    <w:rsid w:val="003F7467"/>
    <w:rsid w:val="00400BF3"/>
    <w:rsid w:val="0040667C"/>
    <w:rsid w:val="00407E68"/>
    <w:rsid w:val="0041213F"/>
    <w:rsid w:val="004121F8"/>
    <w:rsid w:val="0042575B"/>
    <w:rsid w:val="00431ABC"/>
    <w:rsid w:val="004326F6"/>
    <w:rsid w:val="00437799"/>
    <w:rsid w:val="00443FEB"/>
    <w:rsid w:val="004520D6"/>
    <w:rsid w:val="00461295"/>
    <w:rsid w:val="004635BE"/>
    <w:rsid w:val="0046680F"/>
    <w:rsid w:val="00471D00"/>
    <w:rsid w:val="0047525E"/>
    <w:rsid w:val="00486189"/>
    <w:rsid w:val="00497E6E"/>
    <w:rsid w:val="004B2190"/>
    <w:rsid w:val="004B333A"/>
    <w:rsid w:val="004B62D2"/>
    <w:rsid w:val="004C0DAF"/>
    <w:rsid w:val="004C1993"/>
    <w:rsid w:val="004C3BFE"/>
    <w:rsid w:val="004D0B82"/>
    <w:rsid w:val="004E1B81"/>
    <w:rsid w:val="004F42EF"/>
    <w:rsid w:val="004F6694"/>
    <w:rsid w:val="00504822"/>
    <w:rsid w:val="005139B6"/>
    <w:rsid w:val="00520DF2"/>
    <w:rsid w:val="00535238"/>
    <w:rsid w:val="0053726C"/>
    <w:rsid w:val="005558D2"/>
    <w:rsid w:val="00564E18"/>
    <w:rsid w:val="00567DE0"/>
    <w:rsid w:val="00567F87"/>
    <w:rsid w:val="0057552C"/>
    <w:rsid w:val="005833BA"/>
    <w:rsid w:val="005905D9"/>
    <w:rsid w:val="005934A4"/>
    <w:rsid w:val="005A7077"/>
    <w:rsid w:val="005B66E2"/>
    <w:rsid w:val="005D0D2E"/>
    <w:rsid w:val="005D3C8F"/>
    <w:rsid w:val="005D437C"/>
    <w:rsid w:val="005D5F6C"/>
    <w:rsid w:val="005F7825"/>
    <w:rsid w:val="006002FD"/>
    <w:rsid w:val="00606DC6"/>
    <w:rsid w:val="006170CA"/>
    <w:rsid w:val="0061784D"/>
    <w:rsid w:val="00624640"/>
    <w:rsid w:val="0062521E"/>
    <w:rsid w:val="00635CB4"/>
    <w:rsid w:val="006423E1"/>
    <w:rsid w:val="00643F41"/>
    <w:rsid w:val="006562DB"/>
    <w:rsid w:val="0066072B"/>
    <w:rsid w:val="00676BCE"/>
    <w:rsid w:val="006849F4"/>
    <w:rsid w:val="00693B58"/>
    <w:rsid w:val="006A2994"/>
    <w:rsid w:val="006B3A0B"/>
    <w:rsid w:val="006B5526"/>
    <w:rsid w:val="006C2B0F"/>
    <w:rsid w:val="006C3751"/>
    <w:rsid w:val="006C3E02"/>
    <w:rsid w:val="006C644E"/>
    <w:rsid w:val="006D0DC7"/>
    <w:rsid w:val="006D1608"/>
    <w:rsid w:val="006D4036"/>
    <w:rsid w:val="006D40EF"/>
    <w:rsid w:val="006E5869"/>
    <w:rsid w:val="006F7C98"/>
    <w:rsid w:val="007066E5"/>
    <w:rsid w:val="00707E4A"/>
    <w:rsid w:val="00713D86"/>
    <w:rsid w:val="007258F3"/>
    <w:rsid w:val="00726AB5"/>
    <w:rsid w:val="00734CFF"/>
    <w:rsid w:val="00746A7C"/>
    <w:rsid w:val="0075244B"/>
    <w:rsid w:val="00754B63"/>
    <w:rsid w:val="0076449B"/>
    <w:rsid w:val="0076455B"/>
    <w:rsid w:val="0078474D"/>
    <w:rsid w:val="00784EBB"/>
    <w:rsid w:val="0078764D"/>
    <w:rsid w:val="007969D8"/>
    <w:rsid w:val="00796B6B"/>
    <w:rsid w:val="00797252"/>
    <w:rsid w:val="007B1286"/>
    <w:rsid w:val="007B247D"/>
    <w:rsid w:val="007B3279"/>
    <w:rsid w:val="007C3915"/>
    <w:rsid w:val="007C4FF3"/>
    <w:rsid w:val="007D1630"/>
    <w:rsid w:val="007D2377"/>
    <w:rsid w:val="007D7745"/>
    <w:rsid w:val="007F547F"/>
    <w:rsid w:val="00806D35"/>
    <w:rsid w:val="008142D8"/>
    <w:rsid w:val="00816090"/>
    <w:rsid w:val="00830DF8"/>
    <w:rsid w:val="00835520"/>
    <w:rsid w:val="00847032"/>
    <w:rsid w:val="008502AD"/>
    <w:rsid w:val="008521F3"/>
    <w:rsid w:val="00853CBD"/>
    <w:rsid w:val="00854D95"/>
    <w:rsid w:val="00854F23"/>
    <w:rsid w:val="00867203"/>
    <w:rsid w:val="008736F4"/>
    <w:rsid w:val="00886D9D"/>
    <w:rsid w:val="008903DF"/>
    <w:rsid w:val="00890851"/>
    <w:rsid w:val="00892504"/>
    <w:rsid w:val="008A4496"/>
    <w:rsid w:val="008A460D"/>
    <w:rsid w:val="008A7288"/>
    <w:rsid w:val="008C1140"/>
    <w:rsid w:val="008C3BFD"/>
    <w:rsid w:val="008C5425"/>
    <w:rsid w:val="008D57DE"/>
    <w:rsid w:val="008D652A"/>
    <w:rsid w:val="008E3CAD"/>
    <w:rsid w:val="008F1837"/>
    <w:rsid w:val="008F2EC1"/>
    <w:rsid w:val="008F2F53"/>
    <w:rsid w:val="009118D6"/>
    <w:rsid w:val="0091461E"/>
    <w:rsid w:val="00916CB9"/>
    <w:rsid w:val="009270D9"/>
    <w:rsid w:val="00927D23"/>
    <w:rsid w:val="00933619"/>
    <w:rsid w:val="00933CFC"/>
    <w:rsid w:val="009375F6"/>
    <w:rsid w:val="00965ECE"/>
    <w:rsid w:val="00985CCF"/>
    <w:rsid w:val="009873C1"/>
    <w:rsid w:val="009B02E1"/>
    <w:rsid w:val="009B1861"/>
    <w:rsid w:val="009B3D92"/>
    <w:rsid w:val="009C0C23"/>
    <w:rsid w:val="009C0F10"/>
    <w:rsid w:val="009C6D93"/>
    <w:rsid w:val="009E5CDA"/>
    <w:rsid w:val="009E7D54"/>
    <w:rsid w:val="00A04B65"/>
    <w:rsid w:val="00A1787D"/>
    <w:rsid w:val="00A24814"/>
    <w:rsid w:val="00A3176D"/>
    <w:rsid w:val="00A33B64"/>
    <w:rsid w:val="00A40372"/>
    <w:rsid w:val="00A41212"/>
    <w:rsid w:val="00A459C9"/>
    <w:rsid w:val="00A46BA7"/>
    <w:rsid w:val="00A5570F"/>
    <w:rsid w:val="00A8357D"/>
    <w:rsid w:val="00A84C01"/>
    <w:rsid w:val="00A91B93"/>
    <w:rsid w:val="00A97B0B"/>
    <w:rsid w:val="00AA4BAD"/>
    <w:rsid w:val="00AA5CC5"/>
    <w:rsid w:val="00AB1320"/>
    <w:rsid w:val="00AB76FE"/>
    <w:rsid w:val="00AC5D45"/>
    <w:rsid w:val="00AC7255"/>
    <w:rsid w:val="00AD5BB5"/>
    <w:rsid w:val="00AE1375"/>
    <w:rsid w:val="00AE263C"/>
    <w:rsid w:val="00AE38F9"/>
    <w:rsid w:val="00AE4483"/>
    <w:rsid w:val="00AF4F82"/>
    <w:rsid w:val="00B04A4F"/>
    <w:rsid w:val="00B13CC3"/>
    <w:rsid w:val="00B15840"/>
    <w:rsid w:val="00B20B3C"/>
    <w:rsid w:val="00B274DB"/>
    <w:rsid w:val="00B30012"/>
    <w:rsid w:val="00B50C0F"/>
    <w:rsid w:val="00B671D7"/>
    <w:rsid w:val="00B8118D"/>
    <w:rsid w:val="00B82915"/>
    <w:rsid w:val="00B8392C"/>
    <w:rsid w:val="00B86E14"/>
    <w:rsid w:val="00B87200"/>
    <w:rsid w:val="00B9341B"/>
    <w:rsid w:val="00BA6EFD"/>
    <w:rsid w:val="00BB1BBF"/>
    <w:rsid w:val="00BB1CA3"/>
    <w:rsid w:val="00BB2D48"/>
    <w:rsid w:val="00BB3919"/>
    <w:rsid w:val="00BB536F"/>
    <w:rsid w:val="00BB6D57"/>
    <w:rsid w:val="00BC62C1"/>
    <w:rsid w:val="00BC67F5"/>
    <w:rsid w:val="00BD3416"/>
    <w:rsid w:val="00BD7BCA"/>
    <w:rsid w:val="00BE49F3"/>
    <w:rsid w:val="00BE646F"/>
    <w:rsid w:val="00C00B81"/>
    <w:rsid w:val="00C01DE3"/>
    <w:rsid w:val="00C05D18"/>
    <w:rsid w:val="00C157BD"/>
    <w:rsid w:val="00C208AB"/>
    <w:rsid w:val="00C32388"/>
    <w:rsid w:val="00C3317D"/>
    <w:rsid w:val="00C36674"/>
    <w:rsid w:val="00C430D1"/>
    <w:rsid w:val="00C54BC1"/>
    <w:rsid w:val="00C61020"/>
    <w:rsid w:val="00C6481D"/>
    <w:rsid w:val="00C66445"/>
    <w:rsid w:val="00C673FD"/>
    <w:rsid w:val="00C71BC8"/>
    <w:rsid w:val="00C72E52"/>
    <w:rsid w:val="00C868B1"/>
    <w:rsid w:val="00CA0369"/>
    <w:rsid w:val="00CB6B5C"/>
    <w:rsid w:val="00CC1360"/>
    <w:rsid w:val="00CC23D1"/>
    <w:rsid w:val="00CC5481"/>
    <w:rsid w:val="00CC685E"/>
    <w:rsid w:val="00CD0070"/>
    <w:rsid w:val="00CD4766"/>
    <w:rsid w:val="00CD7335"/>
    <w:rsid w:val="00CE11E1"/>
    <w:rsid w:val="00CF184D"/>
    <w:rsid w:val="00CF7A32"/>
    <w:rsid w:val="00D018EF"/>
    <w:rsid w:val="00D0433E"/>
    <w:rsid w:val="00D074D5"/>
    <w:rsid w:val="00D152A1"/>
    <w:rsid w:val="00D15CF5"/>
    <w:rsid w:val="00D167CE"/>
    <w:rsid w:val="00D23564"/>
    <w:rsid w:val="00D242DF"/>
    <w:rsid w:val="00D30D8C"/>
    <w:rsid w:val="00D42623"/>
    <w:rsid w:val="00D45216"/>
    <w:rsid w:val="00D45370"/>
    <w:rsid w:val="00D51820"/>
    <w:rsid w:val="00D54D5D"/>
    <w:rsid w:val="00D55360"/>
    <w:rsid w:val="00D555B1"/>
    <w:rsid w:val="00D630EE"/>
    <w:rsid w:val="00D6421E"/>
    <w:rsid w:val="00D64870"/>
    <w:rsid w:val="00D65ED3"/>
    <w:rsid w:val="00D70850"/>
    <w:rsid w:val="00D7493F"/>
    <w:rsid w:val="00D77214"/>
    <w:rsid w:val="00D8445B"/>
    <w:rsid w:val="00D91041"/>
    <w:rsid w:val="00D9356D"/>
    <w:rsid w:val="00D93BB5"/>
    <w:rsid w:val="00DA7AD1"/>
    <w:rsid w:val="00DB5556"/>
    <w:rsid w:val="00DC6278"/>
    <w:rsid w:val="00DD16E8"/>
    <w:rsid w:val="00DD3935"/>
    <w:rsid w:val="00DE12BA"/>
    <w:rsid w:val="00DE1DEB"/>
    <w:rsid w:val="00DE5D93"/>
    <w:rsid w:val="00DF6471"/>
    <w:rsid w:val="00E013DC"/>
    <w:rsid w:val="00E134F0"/>
    <w:rsid w:val="00E158A4"/>
    <w:rsid w:val="00E24169"/>
    <w:rsid w:val="00E259C6"/>
    <w:rsid w:val="00E36BF1"/>
    <w:rsid w:val="00E4232D"/>
    <w:rsid w:val="00E479A4"/>
    <w:rsid w:val="00E53946"/>
    <w:rsid w:val="00E603DC"/>
    <w:rsid w:val="00E62CD4"/>
    <w:rsid w:val="00E64874"/>
    <w:rsid w:val="00E70533"/>
    <w:rsid w:val="00E74171"/>
    <w:rsid w:val="00E810A4"/>
    <w:rsid w:val="00E81B55"/>
    <w:rsid w:val="00E86FC2"/>
    <w:rsid w:val="00E876D9"/>
    <w:rsid w:val="00E87D71"/>
    <w:rsid w:val="00E92CC1"/>
    <w:rsid w:val="00E97D89"/>
    <w:rsid w:val="00EA2C92"/>
    <w:rsid w:val="00EB00EE"/>
    <w:rsid w:val="00EB3566"/>
    <w:rsid w:val="00EB502B"/>
    <w:rsid w:val="00EB548A"/>
    <w:rsid w:val="00EC1377"/>
    <w:rsid w:val="00ED262C"/>
    <w:rsid w:val="00ED377B"/>
    <w:rsid w:val="00EE0416"/>
    <w:rsid w:val="00EE5024"/>
    <w:rsid w:val="00EE5786"/>
    <w:rsid w:val="00EF791C"/>
    <w:rsid w:val="00F0187C"/>
    <w:rsid w:val="00F1399A"/>
    <w:rsid w:val="00F14489"/>
    <w:rsid w:val="00F16998"/>
    <w:rsid w:val="00F17C46"/>
    <w:rsid w:val="00F221B4"/>
    <w:rsid w:val="00F31432"/>
    <w:rsid w:val="00F31CF9"/>
    <w:rsid w:val="00F54E0E"/>
    <w:rsid w:val="00F675E0"/>
    <w:rsid w:val="00F7269C"/>
    <w:rsid w:val="00F7574C"/>
    <w:rsid w:val="00F75828"/>
    <w:rsid w:val="00F805AA"/>
    <w:rsid w:val="00F8543A"/>
    <w:rsid w:val="00F94AE0"/>
    <w:rsid w:val="00F966F6"/>
    <w:rsid w:val="00FA67F5"/>
    <w:rsid w:val="00FB1FC7"/>
    <w:rsid w:val="00FB4A49"/>
    <w:rsid w:val="00FC1B6C"/>
    <w:rsid w:val="00FC2308"/>
    <w:rsid w:val="00FD659C"/>
    <w:rsid w:val="00FE1647"/>
    <w:rsid w:val="3EE3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E5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TRC Body Text"/>
    <w:qFormat/>
    <w:rsid w:val="004121F8"/>
    <w:pPr>
      <w:spacing w:after="240"/>
    </w:pPr>
    <w:rPr>
      <w:sz w:val="24"/>
    </w:rPr>
  </w:style>
  <w:style w:type="paragraph" w:styleId="Heading1">
    <w:name w:val="heading 1"/>
    <w:aliases w:val="ITRC Section title"/>
    <w:next w:val="Normal"/>
    <w:qFormat/>
    <w:rsid w:val="00205B2A"/>
    <w:pPr>
      <w:keepNext/>
      <w:numPr>
        <w:numId w:val="30"/>
      </w:numPr>
      <w:tabs>
        <w:tab w:val="left" w:pos="547"/>
      </w:tabs>
      <w:spacing w:before="480" w:after="240"/>
      <w:outlineLvl w:val="0"/>
    </w:pPr>
    <w:rPr>
      <w:rFonts w:ascii="Times New Roman Bold" w:hAnsi="Times New Roman Bold"/>
      <w:b/>
      <w:caps/>
      <w:sz w:val="24"/>
      <w:szCs w:val="24"/>
    </w:rPr>
  </w:style>
  <w:style w:type="paragraph" w:styleId="Heading2">
    <w:name w:val="heading 2"/>
    <w:aliases w:val="ITRC 1st Level Subsection"/>
    <w:next w:val="Normal"/>
    <w:qFormat/>
    <w:rsid w:val="0030187C"/>
    <w:pPr>
      <w:keepNext/>
      <w:numPr>
        <w:ilvl w:val="1"/>
        <w:numId w:val="30"/>
      </w:numPr>
      <w:tabs>
        <w:tab w:val="left" w:pos="540"/>
      </w:tabs>
      <w:spacing w:before="240" w:after="240"/>
      <w:outlineLvl w:val="1"/>
    </w:pPr>
    <w:rPr>
      <w:b/>
      <w:sz w:val="24"/>
    </w:rPr>
  </w:style>
  <w:style w:type="paragraph" w:styleId="Heading3">
    <w:name w:val="heading 3"/>
    <w:aliases w:val="ITRC 2nd Level Subsection"/>
    <w:basedOn w:val="Normal"/>
    <w:next w:val="Normal"/>
    <w:qFormat/>
    <w:rsid w:val="006423E1"/>
    <w:pPr>
      <w:keepNext/>
      <w:numPr>
        <w:ilvl w:val="2"/>
        <w:numId w:val="30"/>
      </w:numPr>
      <w:tabs>
        <w:tab w:val="left" w:pos="720"/>
      </w:tabs>
      <w:spacing w:before="240"/>
      <w:outlineLvl w:val="2"/>
    </w:pPr>
    <w:rPr>
      <w:szCs w:val="24"/>
    </w:rPr>
  </w:style>
  <w:style w:type="paragraph" w:styleId="Heading4">
    <w:name w:val="heading 4"/>
    <w:aliases w:val="ITRC 3rd level subsection"/>
    <w:basedOn w:val="Normal"/>
    <w:next w:val="Normal"/>
    <w:qFormat/>
    <w:rsid w:val="0030187C"/>
    <w:pPr>
      <w:keepNext/>
      <w:numPr>
        <w:ilvl w:val="3"/>
        <w:numId w:val="30"/>
      </w:numPr>
      <w:tabs>
        <w:tab w:val="left" w:pos="907"/>
      </w:tabs>
      <w:spacing w:before="240"/>
      <w:outlineLvl w:val="3"/>
    </w:pPr>
    <w:rPr>
      <w:bCs/>
      <w:i/>
      <w:szCs w:val="28"/>
    </w:rPr>
  </w:style>
  <w:style w:type="paragraph" w:styleId="Heading5">
    <w:name w:val="heading 5"/>
    <w:basedOn w:val="Normal"/>
    <w:next w:val="Normal"/>
    <w:link w:val="Heading5Char"/>
    <w:semiHidden/>
    <w:unhideWhenUsed/>
    <w:qFormat/>
    <w:rsid w:val="006423E1"/>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423E1"/>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423E1"/>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423E1"/>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423E1"/>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RCTitlepagetext">
    <w:name w:val="ITRC Title page text"/>
    <w:basedOn w:val="Normal"/>
    <w:rsid w:val="00E4232D"/>
    <w:pPr>
      <w:jc w:val="center"/>
    </w:pPr>
    <w:rPr>
      <w:b/>
    </w:rPr>
  </w:style>
  <w:style w:type="paragraph" w:styleId="TOC1">
    <w:name w:val="toc 1"/>
    <w:basedOn w:val="Heading1"/>
    <w:next w:val="Heading1"/>
    <w:uiPriority w:val="39"/>
    <w:rsid w:val="00FB4A49"/>
    <w:pPr>
      <w:keepNext w:val="0"/>
      <w:numPr>
        <w:numId w:val="0"/>
      </w:numPr>
      <w:tabs>
        <w:tab w:val="clear" w:pos="547"/>
        <w:tab w:val="left" w:pos="360"/>
        <w:tab w:val="right" w:leader="dot" w:pos="9350"/>
      </w:tabs>
      <w:spacing w:before="120" w:after="120"/>
    </w:pPr>
    <w:rPr>
      <w:b w:val="0"/>
      <w:noProof/>
    </w:rPr>
  </w:style>
  <w:style w:type="paragraph" w:styleId="TOC2">
    <w:name w:val="toc 2"/>
    <w:basedOn w:val="Heading2"/>
    <w:next w:val="Normal"/>
    <w:autoRedefine/>
    <w:uiPriority w:val="39"/>
    <w:rsid w:val="00A8357D"/>
    <w:pPr>
      <w:keepNext w:val="0"/>
      <w:numPr>
        <w:ilvl w:val="0"/>
        <w:numId w:val="0"/>
      </w:numPr>
      <w:tabs>
        <w:tab w:val="clear" w:pos="540"/>
        <w:tab w:val="left" w:pos="900"/>
        <w:tab w:val="right" w:leader="dot" w:pos="9350"/>
      </w:tabs>
      <w:spacing w:before="0" w:after="0"/>
      <w:ind w:left="360" w:right="540"/>
    </w:pPr>
    <w:rPr>
      <w:b w:val="0"/>
      <w:noProof/>
    </w:rPr>
  </w:style>
  <w:style w:type="character" w:styleId="PageNumber">
    <w:name w:val="page number"/>
    <w:aliases w:val="ITRC Page number"/>
    <w:rsid w:val="00037B59"/>
    <w:rPr>
      <w:rFonts w:ascii="Times New Roman" w:hAnsi="Times New Roman"/>
      <w:sz w:val="20"/>
    </w:rPr>
  </w:style>
  <w:style w:type="character" w:styleId="FollowedHyperlink">
    <w:name w:val="FollowedHyperlink"/>
    <w:aliases w:val="ITRC active hyperlink"/>
    <w:basedOn w:val="DefaultParagraphFont"/>
    <w:rsid w:val="00F16998"/>
    <w:rPr>
      <w:color w:val="auto"/>
      <w:u w:val="single"/>
    </w:rPr>
  </w:style>
  <w:style w:type="paragraph" w:customStyle="1" w:styleId="ITRCTitlepagedate">
    <w:name w:val="ITRC Title page date"/>
    <w:basedOn w:val="Normal"/>
    <w:rsid w:val="00E4232D"/>
    <w:pPr>
      <w:jc w:val="center"/>
    </w:pPr>
    <w:rPr>
      <w:b/>
      <w:sz w:val="28"/>
    </w:rPr>
  </w:style>
  <w:style w:type="paragraph" w:customStyle="1" w:styleId="ITRCReferenceCited">
    <w:name w:val="ITRC Reference Cited"/>
    <w:next w:val="Normal"/>
    <w:rsid w:val="00CF7A32"/>
    <w:pPr>
      <w:autoSpaceDE w:val="0"/>
      <w:autoSpaceDN w:val="0"/>
      <w:adjustRightInd w:val="0"/>
      <w:ind w:left="360" w:hanging="360"/>
      <w:jc w:val="both"/>
    </w:pPr>
    <w:rPr>
      <w:sz w:val="24"/>
      <w:szCs w:val="24"/>
    </w:rPr>
  </w:style>
  <w:style w:type="paragraph" w:styleId="Header">
    <w:name w:val="header"/>
    <w:basedOn w:val="Normal"/>
    <w:link w:val="HeaderChar"/>
    <w:uiPriority w:val="99"/>
    <w:rsid w:val="00BD7BCA"/>
    <w:pPr>
      <w:tabs>
        <w:tab w:val="center" w:pos="4320"/>
        <w:tab w:val="right" w:pos="8640"/>
      </w:tabs>
    </w:pPr>
  </w:style>
  <w:style w:type="paragraph" w:styleId="Footer">
    <w:name w:val="footer"/>
    <w:basedOn w:val="Normal"/>
    <w:rsid w:val="00BD7BCA"/>
    <w:pPr>
      <w:tabs>
        <w:tab w:val="center" w:pos="4320"/>
        <w:tab w:val="right" w:pos="8640"/>
      </w:tabs>
    </w:pPr>
  </w:style>
  <w:style w:type="paragraph" w:customStyle="1" w:styleId="ITRCCitation">
    <w:name w:val="ITRC Citation"/>
    <w:rsid w:val="00CC5481"/>
    <w:pPr>
      <w:autoSpaceDE w:val="0"/>
      <w:autoSpaceDN w:val="0"/>
      <w:adjustRightInd w:val="0"/>
      <w:ind w:left="720" w:hanging="720"/>
    </w:pPr>
    <w:rPr>
      <w:sz w:val="24"/>
      <w:szCs w:val="24"/>
    </w:rPr>
  </w:style>
  <w:style w:type="paragraph" w:customStyle="1" w:styleId="ITRCCoverDate">
    <w:name w:val="ITRC Cover Date"/>
    <w:rsid w:val="00567F87"/>
    <w:pPr>
      <w:jc w:val="center"/>
    </w:pPr>
    <w:rPr>
      <w:b/>
      <w:color w:val="000080"/>
      <w:sz w:val="28"/>
    </w:rPr>
  </w:style>
  <w:style w:type="paragraph" w:customStyle="1" w:styleId="ITRCCoverDocType">
    <w:name w:val="ITRC Cover Doc Type"/>
    <w:rsid w:val="00205B2A"/>
    <w:rPr>
      <w:b/>
      <w:color w:val="097709"/>
      <w:sz w:val="36"/>
    </w:rPr>
  </w:style>
  <w:style w:type="paragraph" w:customStyle="1" w:styleId="ITRCCoverText">
    <w:name w:val="ITRC Cover Text"/>
    <w:rsid w:val="009B3D92"/>
    <w:pPr>
      <w:jc w:val="center"/>
    </w:pPr>
    <w:rPr>
      <w:b/>
      <w:color w:val="000080"/>
      <w:sz w:val="24"/>
    </w:rPr>
  </w:style>
  <w:style w:type="paragraph" w:customStyle="1" w:styleId="ITRCCoverTitle">
    <w:name w:val="ITRC Cover Title"/>
    <w:rsid w:val="009B3D92"/>
    <w:pPr>
      <w:jc w:val="center"/>
    </w:pPr>
    <w:rPr>
      <w:b/>
      <w:color w:val="000080"/>
      <w:sz w:val="36"/>
    </w:rPr>
  </w:style>
  <w:style w:type="paragraph" w:customStyle="1" w:styleId="ITRCBulletedList">
    <w:name w:val="ITRC Bulleted List"/>
    <w:basedOn w:val="Normal"/>
    <w:rsid w:val="001D1F90"/>
    <w:pPr>
      <w:numPr>
        <w:numId w:val="27"/>
      </w:numPr>
    </w:pPr>
    <w:rPr>
      <w:rFonts w:eastAsia="Times"/>
      <w:szCs w:val="24"/>
    </w:rPr>
  </w:style>
  <w:style w:type="paragraph" w:customStyle="1" w:styleId="ITRCBlankpagenote">
    <w:name w:val="ITRC Blank page note"/>
    <w:basedOn w:val="Normal"/>
    <w:rsid w:val="00E4232D"/>
    <w:pPr>
      <w:jc w:val="center"/>
    </w:pPr>
  </w:style>
  <w:style w:type="paragraph" w:customStyle="1" w:styleId="ITRCExecSummarySubhead">
    <w:name w:val="ITRC Exec Summary Subhead"/>
    <w:basedOn w:val="Normal"/>
    <w:rsid w:val="00E4232D"/>
    <w:rPr>
      <w:i/>
    </w:rPr>
  </w:style>
  <w:style w:type="paragraph" w:customStyle="1" w:styleId="ITRCAcronymlist">
    <w:name w:val="ITRC Acronym list"/>
    <w:basedOn w:val="Normal"/>
    <w:rsid w:val="00E4232D"/>
    <w:pPr>
      <w:tabs>
        <w:tab w:val="left" w:pos="1440"/>
      </w:tabs>
      <w:ind w:left="1425" w:hanging="1425"/>
    </w:pPr>
  </w:style>
  <w:style w:type="paragraph" w:customStyle="1" w:styleId="ITRCPage1Title">
    <w:name w:val="ITRC Page 1 Title"/>
    <w:rsid w:val="00B9341B"/>
    <w:pPr>
      <w:jc w:val="center"/>
    </w:pPr>
    <w:rPr>
      <w:rFonts w:ascii="Times New Roman Bold" w:hAnsi="Times New Roman Bold"/>
      <w:b/>
      <w:caps/>
      <w:sz w:val="24"/>
      <w:szCs w:val="24"/>
    </w:rPr>
  </w:style>
  <w:style w:type="paragraph" w:customStyle="1" w:styleId="ITRCTableText">
    <w:name w:val="ITRC Table Text"/>
    <w:basedOn w:val="Normal"/>
    <w:rsid w:val="00AA5CC5"/>
    <w:rPr>
      <w:sz w:val="20"/>
    </w:rPr>
  </w:style>
  <w:style w:type="paragraph" w:customStyle="1" w:styleId="ITRCFootnotetext">
    <w:name w:val="ITRC Footnote text"/>
    <w:basedOn w:val="Normal"/>
    <w:rsid w:val="00E4232D"/>
    <w:rPr>
      <w:sz w:val="16"/>
      <w:szCs w:val="16"/>
    </w:rPr>
  </w:style>
  <w:style w:type="paragraph" w:customStyle="1" w:styleId="ITRCEquationChemRxn">
    <w:name w:val="ITRC Equation/Chem Rxn"/>
    <w:rsid w:val="006D4036"/>
    <w:pPr>
      <w:jc w:val="center"/>
    </w:pPr>
  </w:style>
  <w:style w:type="paragraph" w:customStyle="1" w:styleId="ITRCGlossaryTerm">
    <w:name w:val="ITRC Glossary Term"/>
    <w:basedOn w:val="Normal"/>
    <w:rsid w:val="00E4232D"/>
    <w:rPr>
      <w:rFonts w:ascii="Times New Roman Bold" w:hAnsi="Times New Roman Bold"/>
      <w:b/>
      <w:iCs/>
      <w:szCs w:val="24"/>
    </w:rPr>
  </w:style>
  <w:style w:type="paragraph" w:customStyle="1" w:styleId="ITRCGlossaryDefinition">
    <w:name w:val="ITRC Glossary Definition"/>
    <w:basedOn w:val="paragraph"/>
    <w:rsid w:val="00CC685E"/>
    <w:pPr>
      <w:ind w:left="480"/>
      <w:textAlignment w:val="baseline"/>
    </w:pPr>
    <w:rPr>
      <w:color w:val="000000"/>
    </w:rPr>
  </w:style>
  <w:style w:type="paragraph" w:customStyle="1" w:styleId="ITRCGlossarytitle">
    <w:name w:val="ITRC Glossary title"/>
    <w:rsid w:val="00B9341B"/>
    <w:pPr>
      <w:jc w:val="center"/>
    </w:pPr>
    <w:rPr>
      <w:rFonts w:ascii="Times New Roman Bold" w:hAnsi="Times New Roman Bold"/>
      <w:b/>
      <w:caps/>
      <w:sz w:val="24"/>
      <w:szCs w:val="24"/>
    </w:rPr>
  </w:style>
  <w:style w:type="paragraph" w:customStyle="1" w:styleId="ITRCTeamContacttext">
    <w:name w:val="ITRC Team Contact text"/>
    <w:basedOn w:val="Normal"/>
    <w:rsid w:val="00E810A4"/>
    <w:pPr>
      <w:spacing w:after="0"/>
      <w:ind w:left="187" w:hanging="187"/>
    </w:pPr>
    <w:rPr>
      <w:szCs w:val="24"/>
    </w:rPr>
  </w:style>
  <w:style w:type="paragraph" w:customStyle="1" w:styleId="ITRCHeader">
    <w:name w:val="ITRC Header"/>
    <w:basedOn w:val="Normal"/>
    <w:rsid w:val="006B3A0B"/>
    <w:pPr>
      <w:pBdr>
        <w:bottom w:val="single" w:sz="2" w:space="6" w:color="auto"/>
      </w:pBdr>
      <w:tabs>
        <w:tab w:val="right" w:pos="9360"/>
      </w:tabs>
    </w:pPr>
    <w:rPr>
      <w:i/>
      <w:sz w:val="20"/>
    </w:rPr>
  </w:style>
  <w:style w:type="paragraph" w:customStyle="1" w:styleId="ITRCTableHeading">
    <w:name w:val="ITRC Table Heading"/>
    <w:basedOn w:val="ITRCTableText"/>
    <w:rsid w:val="001D1F90"/>
    <w:pPr>
      <w:jc w:val="center"/>
    </w:pPr>
    <w:rPr>
      <w:b/>
      <w:bCs/>
    </w:rPr>
  </w:style>
  <w:style w:type="paragraph" w:customStyle="1" w:styleId="ITRCTableColumnHeading">
    <w:name w:val="ITRC Table Column Heading"/>
    <w:basedOn w:val="ITRCTableText"/>
    <w:rsid w:val="00486189"/>
    <w:pPr>
      <w:jc w:val="center"/>
    </w:pPr>
    <w:rPr>
      <w:b/>
      <w:bCs/>
    </w:rPr>
  </w:style>
  <w:style w:type="paragraph" w:customStyle="1" w:styleId="ITRCTableRowHeading">
    <w:name w:val="ITRC Table Row Heading"/>
    <w:basedOn w:val="ITRCTableText"/>
    <w:rsid w:val="00486189"/>
    <w:rPr>
      <w:b/>
      <w:bCs/>
    </w:rPr>
  </w:style>
  <w:style w:type="paragraph" w:customStyle="1" w:styleId="ITRCFiguretitle">
    <w:name w:val="ITRC Figure title"/>
    <w:basedOn w:val="Normal"/>
    <w:rsid w:val="00EE0416"/>
    <w:pPr>
      <w:spacing w:before="120"/>
      <w:jc w:val="center"/>
    </w:pPr>
    <w:rPr>
      <w:b/>
    </w:rPr>
  </w:style>
  <w:style w:type="paragraph" w:customStyle="1" w:styleId="ITRCPrefaceHeading">
    <w:name w:val="ITRC Preface Heading"/>
    <w:basedOn w:val="Heading1"/>
    <w:rsid w:val="007B1286"/>
    <w:rPr>
      <w:b w:val="0"/>
    </w:rPr>
  </w:style>
  <w:style w:type="paragraph" w:customStyle="1" w:styleId="ITRCFrontMatterHeading">
    <w:name w:val="ITRC Front Matter Heading"/>
    <w:rsid w:val="006423E1"/>
    <w:pPr>
      <w:spacing w:after="120"/>
    </w:pPr>
    <w:rPr>
      <w:rFonts w:ascii="Times New Roman Bold" w:hAnsi="Times New Roman Bold"/>
      <w:caps/>
      <w:sz w:val="24"/>
      <w:szCs w:val="24"/>
    </w:rPr>
  </w:style>
  <w:style w:type="paragraph" w:customStyle="1" w:styleId="ITRCAppendix2ndlevelsubsection">
    <w:name w:val="ITRC Appendix 2nd level subsection"/>
    <w:next w:val="Normal"/>
    <w:rsid w:val="00EF791C"/>
    <w:pPr>
      <w:spacing w:before="120" w:after="120"/>
    </w:pPr>
    <w:rPr>
      <w:sz w:val="24"/>
      <w:szCs w:val="24"/>
    </w:rPr>
  </w:style>
  <w:style w:type="paragraph" w:customStyle="1" w:styleId="ITRCTableTitle">
    <w:name w:val="ITRC Table Title"/>
    <w:basedOn w:val="ITRCTableText"/>
    <w:rsid w:val="00AA5CC5"/>
    <w:pPr>
      <w:keepNext/>
      <w:jc w:val="center"/>
    </w:pPr>
    <w:rPr>
      <w:b/>
      <w:bCs/>
      <w:sz w:val="24"/>
    </w:rPr>
  </w:style>
  <w:style w:type="paragraph" w:customStyle="1" w:styleId="ITRCTitlePageTitle">
    <w:name w:val="ITRC Title Page Title"/>
    <w:basedOn w:val="Normal"/>
    <w:rsid w:val="00E4232D"/>
    <w:pPr>
      <w:jc w:val="center"/>
    </w:pPr>
    <w:rPr>
      <w:b/>
      <w:sz w:val="36"/>
    </w:rPr>
  </w:style>
  <w:style w:type="paragraph" w:customStyle="1" w:styleId="ITRCTOCHeading">
    <w:name w:val="ITRC TOC Heading"/>
    <w:rsid w:val="00DE5D93"/>
    <w:pPr>
      <w:keepNext/>
      <w:tabs>
        <w:tab w:val="left" w:pos="720"/>
        <w:tab w:val="left" w:pos="1260"/>
        <w:tab w:val="right" w:leader="dot" w:pos="9270"/>
      </w:tabs>
      <w:jc w:val="center"/>
    </w:pPr>
    <w:rPr>
      <w:rFonts w:ascii="Times New Roman Bold" w:hAnsi="Times New Roman Bold"/>
      <w:b/>
      <w:caps/>
      <w:sz w:val="24"/>
      <w:szCs w:val="24"/>
    </w:rPr>
  </w:style>
  <w:style w:type="paragraph" w:customStyle="1" w:styleId="ITRCAppendix0lvlsectionheading">
    <w:name w:val="ITRC Appendix 0 lvl section heading"/>
    <w:next w:val="Normal"/>
    <w:rsid w:val="009C0C23"/>
    <w:pPr>
      <w:keepNext/>
      <w:pageBreakBefore/>
      <w:numPr>
        <w:numId w:val="39"/>
      </w:numPr>
      <w:spacing w:before="480" w:after="240"/>
      <w:ind w:left="0" w:firstLine="0"/>
    </w:pPr>
    <w:rPr>
      <w:rFonts w:ascii="Times New Roman Bold" w:hAnsi="Times New Roman Bold"/>
      <w:b/>
      <w:caps/>
      <w:sz w:val="24"/>
      <w:szCs w:val="24"/>
    </w:rPr>
  </w:style>
  <w:style w:type="paragraph" w:customStyle="1" w:styleId="ITRCAppendix1stlvlSubsection">
    <w:name w:val="ITRC Appendix 1st lvl Subsection"/>
    <w:next w:val="Normal"/>
    <w:rsid w:val="009C0C23"/>
    <w:pPr>
      <w:keepNext/>
      <w:spacing w:before="240" w:after="240"/>
    </w:pPr>
    <w:rPr>
      <w:b/>
      <w:sz w:val="24"/>
    </w:rPr>
  </w:style>
  <w:style w:type="character" w:customStyle="1" w:styleId="Heading5Char">
    <w:name w:val="Heading 5 Char"/>
    <w:basedOn w:val="DefaultParagraphFont"/>
    <w:link w:val="Heading5"/>
    <w:semiHidden/>
    <w:rsid w:val="006423E1"/>
    <w:rPr>
      <w:rFonts w:asciiTheme="majorHAnsi" w:eastAsiaTheme="majorEastAsia" w:hAnsiTheme="majorHAnsi" w:cstheme="majorBidi"/>
      <w:color w:val="365F91" w:themeColor="accent1" w:themeShade="BF"/>
      <w:sz w:val="24"/>
    </w:rPr>
  </w:style>
  <w:style w:type="paragraph" w:customStyle="1" w:styleId="ITRCBlockIndent">
    <w:name w:val="ITRC Block Indent"/>
    <w:rsid w:val="001D1F90"/>
    <w:pPr>
      <w:ind w:left="720" w:right="720"/>
    </w:pPr>
    <w:rPr>
      <w:rFonts w:eastAsia="Times"/>
      <w:sz w:val="24"/>
      <w:szCs w:val="24"/>
    </w:rPr>
  </w:style>
  <w:style w:type="character" w:customStyle="1" w:styleId="Heading6Char">
    <w:name w:val="Heading 6 Char"/>
    <w:basedOn w:val="DefaultParagraphFont"/>
    <w:link w:val="Heading6"/>
    <w:semiHidden/>
    <w:rsid w:val="006423E1"/>
    <w:rPr>
      <w:rFonts w:asciiTheme="majorHAnsi" w:eastAsiaTheme="majorEastAsia" w:hAnsiTheme="majorHAnsi" w:cstheme="majorBidi"/>
      <w:color w:val="243F60" w:themeColor="accent1" w:themeShade="7F"/>
      <w:sz w:val="24"/>
    </w:rPr>
  </w:style>
  <w:style w:type="paragraph" w:customStyle="1" w:styleId="ITRCemailaddress">
    <w:name w:val="ITRC email address"/>
    <w:basedOn w:val="Normal"/>
    <w:rsid w:val="001D1F90"/>
  </w:style>
  <w:style w:type="character" w:styleId="Hyperlink">
    <w:name w:val="Hyperlink"/>
    <w:basedOn w:val="DefaultParagraphFont"/>
    <w:uiPriority w:val="99"/>
    <w:rsid w:val="004F6694"/>
    <w:rPr>
      <w:color w:val="0000FF"/>
      <w:u w:val="single"/>
    </w:rPr>
  </w:style>
  <w:style w:type="character" w:styleId="CommentReference">
    <w:name w:val="annotation reference"/>
    <w:basedOn w:val="DefaultParagraphFont"/>
    <w:semiHidden/>
    <w:rsid w:val="00E479A4"/>
    <w:rPr>
      <w:sz w:val="16"/>
      <w:szCs w:val="16"/>
    </w:rPr>
  </w:style>
  <w:style w:type="paragraph" w:styleId="CommentText">
    <w:name w:val="annotation text"/>
    <w:basedOn w:val="Normal"/>
    <w:link w:val="CommentTextChar"/>
    <w:semiHidden/>
    <w:rsid w:val="00E479A4"/>
    <w:rPr>
      <w:sz w:val="20"/>
    </w:rPr>
  </w:style>
  <w:style w:type="paragraph" w:styleId="CommentSubject">
    <w:name w:val="annotation subject"/>
    <w:basedOn w:val="CommentText"/>
    <w:next w:val="CommentText"/>
    <w:semiHidden/>
    <w:rsid w:val="00E479A4"/>
    <w:rPr>
      <w:b/>
      <w:bCs/>
    </w:rPr>
  </w:style>
  <w:style w:type="paragraph" w:styleId="BalloonText">
    <w:name w:val="Balloon Text"/>
    <w:basedOn w:val="Normal"/>
    <w:semiHidden/>
    <w:rsid w:val="00E479A4"/>
    <w:rPr>
      <w:rFonts w:ascii="Tahoma" w:hAnsi="Tahoma" w:cs="Tahoma"/>
      <w:sz w:val="16"/>
      <w:szCs w:val="16"/>
    </w:rPr>
  </w:style>
  <w:style w:type="table" w:styleId="TableGrid">
    <w:name w:val="Table Grid"/>
    <w:basedOn w:val="TableNormal"/>
    <w:rsid w:val="004C0D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536F"/>
    <w:pPr>
      <w:spacing w:after="120"/>
    </w:pPr>
  </w:style>
  <w:style w:type="character" w:customStyle="1" w:styleId="BodyTextChar">
    <w:name w:val="Body Text Char"/>
    <w:basedOn w:val="DefaultParagraphFont"/>
    <w:link w:val="BodyText"/>
    <w:rsid w:val="00BB536F"/>
    <w:rPr>
      <w:sz w:val="24"/>
    </w:rPr>
  </w:style>
  <w:style w:type="paragraph" w:customStyle="1" w:styleId="ITRCDisclaimerText">
    <w:name w:val="ITRC Disclaimer Text"/>
    <w:qFormat/>
    <w:rsid w:val="00FB4A49"/>
    <w:pPr>
      <w:spacing w:after="240"/>
    </w:pPr>
    <w:rPr>
      <w:sz w:val="22"/>
    </w:rPr>
  </w:style>
  <w:style w:type="paragraph" w:customStyle="1" w:styleId="ITRCDisclaimerHeading">
    <w:name w:val="ITRC Disclaimer Heading"/>
    <w:next w:val="ITRCDisclaimerText"/>
    <w:qFormat/>
    <w:rsid w:val="00835520"/>
    <w:pPr>
      <w:spacing w:before="240" w:after="120"/>
    </w:pPr>
    <w:rPr>
      <w:rFonts w:ascii="Times New Roman Bold" w:hAnsi="Times New Roman Bold"/>
      <w:b/>
      <w:caps/>
      <w:sz w:val="24"/>
    </w:rPr>
  </w:style>
  <w:style w:type="character" w:customStyle="1" w:styleId="Heading7Char">
    <w:name w:val="Heading 7 Char"/>
    <w:basedOn w:val="DefaultParagraphFont"/>
    <w:link w:val="Heading7"/>
    <w:semiHidden/>
    <w:rsid w:val="006423E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6423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423E1"/>
    <w:rPr>
      <w:rFonts w:asciiTheme="majorHAnsi" w:eastAsiaTheme="majorEastAsia" w:hAnsiTheme="majorHAnsi" w:cstheme="majorBidi"/>
      <w:i/>
      <w:iCs/>
      <w:color w:val="272727" w:themeColor="text1" w:themeTint="D8"/>
      <w:sz w:val="21"/>
      <w:szCs w:val="21"/>
    </w:rPr>
  </w:style>
  <w:style w:type="paragraph" w:customStyle="1" w:styleId="ITRCFiguresource">
    <w:name w:val="ITRC Figure source"/>
    <w:basedOn w:val="ITRCFiguretitle"/>
    <w:qFormat/>
    <w:rsid w:val="00EE0416"/>
    <w:rPr>
      <w:b w:val="0"/>
      <w:i/>
    </w:rPr>
  </w:style>
  <w:style w:type="paragraph" w:styleId="Caption">
    <w:name w:val="caption"/>
    <w:basedOn w:val="Normal"/>
    <w:next w:val="Normal"/>
    <w:unhideWhenUsed/>
    <w:qFormat/>
    <w:rsid w:val="00EE0416"/>
    <w:pPr>
      <w:spacing w:after="200"/>
    </w:pPr>
    <w:rPr>
      <w:i/>
      <w:iCs/>
      <w:color w:val="1F497D" w:themeColor="text2"/>
      <w:sz w:val="18"/>
      <w:szCs w:val="18"/>
    </w:rPr>
  </w:style>
  <w:style w:type="paragraph" w:styleId="ListParagraph">
    <w:name w:val="List Paragraph"/>
    <w:basedOn w:val="Normal"/>
    <w:uiPriority w:val="34"/>
    <w:qFormat/>
    <w:rsid w:val="00EE0416"/>
    <w:pPr>
      <w:ind w:left="720"/>
      <w:contextualSpacing/>
    </w:pPr>
  </w:style>
  <w:style w:type="paragraph" w:customStyle="1" w:styleId="ITRCHyperlink">
    <w:name w:val="ITRC Hyperlink"/>
    <w:basedOn w:val="ITRCTeamContacttext"/>
    <w:qFormat/>
    <w:rsid w:val="00E810A4"/>
    <w:rPr>
      <w:color w:val="365F91" w:themeColor="accent1" w:themeShade="BF"/>
    </w:rPr>
  </w:style>
  <w:style w:type="paragraph" w:customStyle="1" w:styleId="paragraph">
    <w:name w:val="paragraph"/>
    <w:basedOn w:val="Normal"/>
    <w:rsid w:val="00CC685E"/>
    <w:pPr>
      <w:spacing w:before="100" w:beforeAutospacing="1" w:after="100" w:afterAutospacing="1"/>
    </w:pPr>
    <w:rPr>
      <w:szCs w:val="24"/>
    </w:rPr>
  </w:style>
  <w:style w:type="character" w:customStyle="1" w:styleId="normaltextrun">
    <w:name w:val="normaltextrun"/>
    <w:basedOn w:val="DefaultParagraphFont"/>
    <w:rsid w:val="00CC685E"/>
  </w:style>
  <w:style w:type="character" w:customStyle="1" w:styleId="eop">
    <w:name w:val="eop"/>
    <w:basedOn w:val="DefaultParagraphFont"/>
    <w:rsid w:val="00CC685E"/>
  </w:style>
  <w:style w:type="character" w:customStyle="1" w:styleId="spellingerror">
    <w:name w:val="spellingerror"/>
    <w:basedOn w:val="DefaultParagraphFont"/>
    <w:rsid w:val="00CC685E"/>
  </w:style>
  <w:style w:type="paragraph" w:styleId="Revision">
    <w:name w:val="Revision"/>
    <w:hidden/>
    <w:uiPriority w:val="99"/>
    <w:semiHidden/>
    <w:rsid w:val="00BC62C1"/>
    <w:rPr>
      <w:sz w:val="24"/>
    </w:rPr>
  </w:style>
  <w:style w:type="paragraph" w:styleId="TableofFigures">
    <w:name w:val="table of figures"/>
    <w:basedOn w:val="Normal"/>
    <w:next w:val="Normal"/>
    <w:uiPriority w:val="99"/>
    <w:unhideWhenUsed/>
    <w:rsid w:val="007258F3"/>
    <w:pPr>
      <w:spacing w:after="0"/>
    </w:pPr>
  </w:style>
  <w:style w:type="paragraph" w:customStyle="1" w:styleId="ITRCTextBoxTitle">
    <w:name w:val="ITRC Text Box Title"/>
    <w:basedOn w:val="Normal"/>
    <w:qFormat/>
    <w:rsid w:val="00A8357D"/>
    <w:pPr>
      <w:spacing w:before="120"/>
      <w:jc w:val="center"/>
    </w:pPr>
    <w:rPr>
      <w:rFonts w:ascii="Arial" w:hAnsi="Arial" w:cs="Arial"/>
      <w:b/>
      <w:i/>
      <w:sz w:val="22"/>
      <w:szCs w:val="22"/>
    </w:rPr>
  </w:style>
  <w:style w:type="character" w:customStyle="1" w:styleId="CommentTextChar">
    <w:name w:val="Comment Text Char"/>
    <w:basedOn w:val="DefaultParagraphFont"/>
    <w:link w:val="CommentText"/>
    <w:semiHidden/>
    <w:rsid w:val="00E53946"/>
  </w:style>
  <w:style w:type="paragraph" w:styleId="Bibliography">
    <w:name w:val="Bibliography"/>
    <w:basedOn w:val="Normal"/>
    <w:next w:val="Normal"/>
    <w:uiPriority w:val="37"/>
    <w:unhideWhenUsed/>
    <w:rsid w:val="00CE11E1"/>
    <w:pPr>
      <w:spacing w:after="0"/>
      <w:ind w:left="720" w:hanging="720"/>
    </w:pPr>
  </w:style>
  <w:style w:type="paragraph" w:customStyle="1" w:styleId="ITRCTableTextCentered">
    <w:name w:val="ITRC Table Text Centered"/>
    <w:basedOn w:val="ITRCTableText"/>
    <w:qFormat/>
    <w:rsid w:val="004121F8"/>
    <w:pPr>
      <w:spacing w:after="0"/>
      <w:jc w:val="center"/>
    </w:pPr>
    <w:rPr>
      <w:color w:val="000000"/>
    </w:rPr>
  </w:style>
  <w:style w:type="character" w:customStyle="1" w:styleId="HeaderChar">
    <w:name w:val="Header Char"/>
    <w:basedOn w:val="DefaultParagraphFont"/>
    <w:link w:val="Header"/>
    <w:uiPriority w:val="99"/>
    <w:rsid w:val="00D074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13627">
      <w:bodyDiv w:val="1"/>
      <w:marLeft w:val="0"/>
      <w:marRight w:val="0"/>
      <w:marTop w:val="0"/>
      <w:marBottom w:val="0"/>
      <w:divBdr>
        <w:top w:val="none" w:sz="0" w:space="0" w:color="auto"/>
        <w:left w:val="none" w:sz="0" w:space="0" w:color="auto"/>
        <w:bottom w:val="none" w:sz="0" w:space="0" w:color="auto"/>
        <w:right w:val="none" w:sz="0" w:space="0" w:color="auto"/>
      </w:divBdr>
    </w:div>
    <w:div w:id="456293220">
      <w:bodyDiv w:val="1"/>
      <w:marLeft w:val="0"/>
      <w:marRight w:val="0"/>
      <w:marTop w:val="0"/>
      <w:marBottom w:val="0"/>
      <w:divBdr>
        <w:top w:val="none" w:sz="0" w:space="0" w:color="auto"/>
        <w:left w:val="none" w:sz="0" w:space="0" w:color="auto"/>
        <w:bottom w:val="none" w:sz="0" w:space="0" w:color="auto"/>
        <w:right w:val="none" w:sz="0" w:space="0" w:color="auto"/>
      </w:divBdr>
      <w:divsChild>
        <w:div w:id="47807656">
          <w:marLeft w:val="0"/>
          <w:marRight w:val="0"/>
          <w:marTop w:val="0"/>
          <w:marBottom w:val="0"/>
          <w:divBdr>
            <w:top w:val="none" w:sz="0" w:space="0" w:color="auto"/>
            <w:left w:val="none" w:sz="0" w:space="0" w:color="auto"/>
            <w:bottom w:val="none" w:sz="0" w:space="0" w:color="auto"/>
            <w:right w:val="none" w:sz="0" w:space="0" w:color="auto"/>
          </w:divBdr>
        </w:div>
        <w:div w:id="1608272790">
          <w:marLeft w:val="0"/>
          <w:marRight w:val="0"/>
          <w:marTop w:val="0"/>
          <w:marBottom w:val="0"/>
          <w:divBdr>
            <w:top w:val="none" w:sz="0" w:space="0" w:color="auto"/>
            <w:left w:val="none" w:sz="0" w:space="0" w:color="auto"/>
            <w:bottom w:val="none" w:sz="0" w:space="0" w:color="auto"/>
            <w:right w:val="none" w:sz="0" w:space="0" w:color="auto"/>
          </w:divBdr>
        </w:div>
        <w:div w:id="1202597680">
          <w:marLeft w:val="0"/>
          <w:marRight w:val="0"/>
          <w:marTop w:val="0"/>
          <w:marBottom w:val="0"/>
          <w:divBdr>
            <w:top w:val="none" w:sz="0" w:space="0" w:color="auto"/>
            <w:left w:val="none" w:sz="0" w:space="0" w:color="auto"/>
            <w:bottom w:val="none" w:sz="0" w:space="0" w:color="auto"/>
            <w:right w:val="none" w:sz="0" w:space="0" w:color="auto"/>
          </w:divBdr>
        </w:div>
        <w:div w:id="1611163254">
          <w:marLeft w:val="0"/>
          <w:marRight w:val="0"/>
          <w:marTop w:val="0"/>
          <w:marBottom w:val="0"/>
          <w:divBdr>
            <w:top w:val="none" w:sz="0" w:space="0" w:color="auto"/>
            <w:left w:val="none" w:sz="0" w:space="0" w:color="auto"/>
            <w:bottom w:val="none" w:sz="0" w:space="0" w:color="auto"/>
            <w:right w:val="none" w:sz="0" w:space="0" w:color="auto"/>
          </w:divBdr>
        </w:div>
        <w:div w:id="1495799368">
          <w:marLeft w:val="0"/>
          <w:marRight w:val="0"/>
          <w:marTop w:val="0"/>
          <w:marBottom w:val="0"/>
          <w:divBdr>
            <w:top w:val="none" w:sz="0" w:space="0" w:color="auto"/>
            <w:left w:val="none" w:sz="0" w:space="0" w:color="auto"/>
            <w:bottom w:val="none" w:sz="0" w:space="0" w:color="auto"/>
            <w:right w:val="none" w:sz="0" w:space="0" w:color="auto"/>
          </w:divBdr>
        </w:div>
        <w:div w:id="1221137011">
          <w:marLeft w:val="0"/>
          <w:marRight w:val="0"/>
          <w:marTop w:val="0"/>
          <w:marBottom w:val="0"/>
          <w:divBdr>
            <w:top w:val="none" w:sz="0" w:space="0" w:color="auto"/>
            <w:left w:val="none" w:sz="0" w:space="0" w:color="auto"/>
            <w:bottom w:val="none" w:sz="0" w:space="0" w:color="auto"/>
            <w:right w:val="none" w:sz="0" w:space="0" w:color="auto"/>
          </w:divBdr>
        </w:div>
        <w:div w:id="1266419437">
          <w:marLeft w:val="0"/>
          <w:marRight w:val="0"/>
          <w:marTop w:val="0"/>
          <w:marBottom w:val="0"/>
          <w:divBdr>
            <w:top w:val="none" w:sz="0" w:space="0" w:color="auto"/>
            <w:left w:val="none" w:sz="0" w:space="0" w:color="auto"/>
            <w:bottom w:val="none" w:sz="0" w:space="0" w:color="auto"/>
            <w:right w:val="none" w:sz="0" w:space="0" w:color="auto"/>
          </w:divBdr>
        </w:div>
        <w:div w:id="975260426">
          <w:marLeft w:val="0"/>
          <w:marRight w:val="0"/>
          <w:marTop w:val="0"/>
          <w:marBottom w:val="0"/>
          <w:divBdr>
            <w:top w:val="none" w:sz="0" w:space="0" w:color="auto"/>
            <w:left w:val="none" w:sz="0" w:space="0" w:color="auto"/>
            <w:bottom w:val="none" w:sz="0" w:space="0" w:color="auto"/>
            <w:right w:val="none" w:sz="0" w:space="0" w:color="auto"/>
          </w:divBdr>
        </w:div>
        <w:div w:id="1748767876">
          <w:marLeft w:val="0"/>
          <w:marRight w:val="0"/>
          <w:marTop w:val="0"/>
          <w:marBottom w:val="0"/>
          <w:divBdr>
            <w:top w:val="none" w:sz="0" w:space="0" w:color="auto"/>
            <w:left w:val="none" w:sz="0" w:space="0" w:color="auto"/>
            <w:bottom w:val="none" w:sz="0" w:space="0" w:color="auto"/>
            <w:right w:val="none" w:sz="0" w:space="0" w:color="auto"/>
          </w:divBdr>
        </w:div>
        <w:div w:id="384566291">
          <w:marLeft w:val="0"/>
          <w:marRight w:val="0"/>
          <w:marTop w:val="0"/>
          <w:marBottom w:val="0"/>
          <w:divBdr>
            <w:top w:val="none" w:sz="0" w:space="0" w:color="auto"/>
            <w:left w:val="none" w:sz="0" w:space="0" w:color="auto"/>
            <w:bottom w:val="none" w:sz="0" w:space="0" w:color="auto"/>
            <w:right w:val="none" w:sz="0" w:space="0" w:color="auto"/>
          </w:divBdr>
        </w:div>
        <w:div w:id="1301694122">
          <w:marLeft w:val="0"/>
          <w:marRight w:val="0"/>
          <w:marTop w:val="0"/>
          <w:marBottom w:val="0"/>
          <w:divBdr>
            <w:top w:val="none" w:sz="0" w:space="0" w:color="auto"/>
            <w:left w:val="none" w:sz="0" w:space="0" w:color="auto"/>
            <w:bottom w:val="none" w:sz="0" w:space="0" w:color="auto"/>
            <w:right w:val="none" w:sz="0" w:space="0" w:color="auto"/>
          </w:divBdr>
        </w:div>
        <w:div w:id="1989506305">
          <w:marLeft w:val="0"/>
          <w:marRight w:val="0"/>
          <w:marTop w:val="0"/>
          <w:marBottom w:val="0"/>
          <w:divBdr>
            <w:top w:val="none" w:sz="0" w:space="0" w:color="auto"/>
            <w:left w:val="none" w:sz="0" w:space="0" w:color="auto"/>
            <w:bottom w:val="none" w:sz="0" w:space="0" w:color="auto"/>
            <w:right w:val="none" w:sz="0" w:space="0" w:color="auto"/>
          </w:divBdr>
        </w:div>
        <w:div w:id="1153792613">
          <w:marLeft w:val="0"/>
          <w:marRight w:val="0"/>
          <w:marTop w:val="0"/>
          <w:marBottom w:val="0"/>
          <w:divBdr>
            <w:top w:val="none" w:sz="0" w:space="0" w:color="auto"/>
            <w:left w:val="none" w:sz="0" w:space="0" w:color="auto"/>
            <w:bottom w:val="none" w:sz="0" w:space="0" w:color="auto"/>
            <w:right w:val="none" w:sz="0" w:space="0" w:color="auto"/>
          </w:divBdr>
        </w:div>
        <w:div w:id="674915295">
          <w:marLeft w:val="0"/>
          <w:marRight w:val="0"/>
          <w:marTop w:val="0"/>
          <w:marBottom w:val="0"/>
          <w:divBdr>
            <w:top w:val="none" w:sz="0" w:space="0" w:color="auto"/>
            <w:left w:val="none" w:sz="0" w:space="0" w:color="auto"/>
            <w:bottom w:val="none" w:sz="0" w:space="0" w:color="auto"/>
            <w:right w:val="none" w:sz="0" w:space="0" w:color="auto"/>
          </w:divBdr>
        </w:div>
        <w:div w:id="2092434268">
          <w:marLeft w:val="0"/>
          <w:marRight w:val="0"/>
          <w:marTop w:val="0"/>
          <w:marBottom w:val="0"/>
          <w:divBdr>
            <w:top w:val="none" w:sz="0" w:space="0" w:color="auto"/>
            <w:left w:val="none" w:sz="0" w:space="0" w:color="auto"/>
            <w:bottom w:val="none" w:sz="0" w:space="0" w:color="auto"/>
            <w:right w:val="none" w:sz="0" w:space="0" w:color="auto"/>
          </w:divBdr>
        </w:div>
        <w:div w:id="1634019943">
          <w:marLeft w:val="0"/>
          <w:marRight w:val="0"/>
          <w:marTop w:val="0"/>
          <w:marBottom w:val="0"/>
          <w:divBdr>
            <w:top w:val="none" w:sz="0" w:space="0" w:color="auto"/>
            <w:left w:val="none" w:sz="0" w:space="0" w:color="auto"/>
            <w:bottom w:val="none" w:sz="0" w:space="0" w:color="auto"/>
            <w:right w:val="none" w:sz="0" w:space="0" w:color="auto"/>
          </w:divBdr>
        </w:div>
        <w:div w:id="1259292379">
          <w:marLeft w:val="0"/>
          <w:marRight w:val="0"/>
          <w:marTop w:val="0"/>
          <w:marBottom w:val="0"/>
          <w:divBdr>
            <w:top w:val="none" w:sz="0" w:space="0" w:color="auto"/>
            <w:left w:val="none" w:sz="0" w:space="0" w:color="auto"/>
            <w:bottom w:val="none" w:sz="0" w:space="0" w:color="auto"/>
            <w:right w:val="none" w:sz="0" w:space="0" w:color="auto"/>
          </w:divBdr>
        </w:div>
        <w:div w:id="1620911615">
          <w:marLeft w:val="0"/>
          <w:marRight w:val="0"/>
          <w:marTop w:val="0"/>
          <w:marBottom w:val="0"/>
          <w:divBdr>
            <w:top w:val="none" w:sz="0" w:space="0" w:color="auto"/>
            <w:left w:val="none" w:sz="0" w:space="0" w:color="auto"/>
            <w:bottom w:val="none" w:sz="0" w:space="0" w:color="auto"/>
            <w:right w:val="none" w:sz="0" w:space="0" w:color="auto"/>
          </w:divBdr>
        </w:div>
        <w:div w:id="727874394">
          <w:marLeft w:val="0"/>
          <w:marRight w:val="0"/>
          <w:marTop w:val="0"/>
          <w:marBottom w:val="0"/>
          <w:divBdr>
            <w:top w:val="none" w:sz="0" w:space="0" w:color="auto"/>
            <w:left w:val="none" w:sz="0" w:space="0" w:color="auto"/>
            <w:bottom w:val="none" w:sz="0" w:space="0" w:color="auto"/>
            <w:right w:val="none" w:sz="0" w:space="0" w:color="auto"/>
          </w:divBdr>
        </w:div>
        <w:div w:id="1254172030">
          <w:marLeft w:val="0"/>
          <w:marRight w:val="0"/>
          <w:marTop w:val="0"/>
          <w:marBottom w:val="0"/>
          <w:divBdr>
            <w:top w:val="none" w:sz="0" w:space="0" w:color="auto"/>
            <w:left w:val="none" w:sz="0" w:space="0" w:color="auto"/>
            <w:bottom w:val="none" w:sz="0" w:space="0" w:color="auto"/>
            <w:right w:val="none" w:sz="0" w:space="0" w:color="auto"/>
          </w:divBdr>
        </w:div>
        <w:div w:id="1699501325">
          <w:marLeft w:val="0"/>
          <w:marRight w:val="0"/>
          <w:marTop w:val="0"/>
          <w:marBottom w:val="0"/>
          <w:divBdr>
            <w:top w:val="none" w:sz="0" w:space="0" w:color="auto"/>
            <w:left w:val="none" w:sz="0" w:space="0" w:color="auto"/>
            <w:bottom w:val="none" w:sz="0" w:space="0" w:color="auto"/>
            <w:right w:val="none" w:sz="0" w:space="0" w:color="auto"/>
          </w:divBdr>
        </w:div>
        <w:div w:id="131482034">
          <w:marLeft w:val="0"/>
          <w:marRight w:val="0"/>
          <w:marTop w:val="0"/>
          <w:marBottom w:val="0"/>
          <w:divBdr>
            <w:top w:val="none" w:sz="0" w:space="0" w:color="auto"/>
            <w:left w:val="none" w:sz="0" w:space="0" w:color="auto"/>
            <w:bottom w:val="none" w:sz="0" w:space="0" w:color="auto"/>
            <w:right w:val="none" w:sz="0" w:space="0" w:color="auto"/>
          </w:divBdr>
        </w:div>
        <w:div w:id="1565066854">
          <w:marLeft w:val="0"/>
          <w:marRight w:val="0"/>
          <w:marTop w:val="0"/>
          <w:marBottom w:val="0"/>
          <w:divBdr>
            <w:top w:val="none" w:sz="0" w:space="0" w:color="auto"/>
            <w:left w:val="none" w:sz="0" w:space="0" w:color="auto"/>
            <w:bottom w:val="none" w:sz="0" w:space="0" w:color="auto"/>
            <w:right w:val="none" w:sz="0" w:space="0" w:color="auto"/>
          </w:divBdr>
        </w:div>
        <w:div w:id="39398494">
          <w:marLeft w:val="0"/>
          <w:marRight w:val="0"/>
          <w:marTop w:val="0"/>
          <w:marBottom w:val="0"/>
          <w:divBdr>
            <w:top w:val="none" w:sz="0" w:space="0" w:color="auto"/>
            <w:left w:val="none" w:sz="0" w:space="0" w:color="auto"/>
            <w:bottom w:val="none" w:sz="0" w:space="0" w:color="auto"/>
            <w:right w:val="none" w:sz="0" w:space="0" w:color="auto"/>
          </w:divBdr>
        </w:div>
        <w:div w:id="345600951">
          <w:marLeft w:val="0"/>
          <w:marRight w:val="0"/>
          <w:marTop w:val="0"/>
          <w:marBottom w:val="0"/>
          <w:divBdr>
            <w:top w:val="none" w:sz="0" w:space="0" w:color="auto"/>
            <w:left w:val="none" w:sz="0" w:space="0" w:color="auto"/>
            <w:bottom w:val="none" w:sz="0" w:space="0" w:color="auto"/>
            <w:right w:val="none" w:sz="0" w:space="0" w:color="auto"/>
          </w:divBdr>
        </w:div>
        <w:div w:id="1406224980">
          <w:marLeft w:val="0"/>
          <w:marRight w:val="0"/>
          <w:marTop w:val="0"/>
          <w:marBottom w:val="0"/>
          <w:divBdr>
            <w:top w:val="none" w:sz="0" w:space="0" w:color="auto"/>
            <w:left w:val="none" w:sz="0" w:space="0" w:color="auto"/>
            <w:bottom w:val="none" w:sz="0" w:space="0" w:color="auto"/>
            <w:right w:val="none" w:sz="0" w:space="0" w:color="auto"/>
          </w:divBdr>
        </w:div>
        <w:div w:id="100540855">
          <w:marLeft w:val="0"/>
          <w:marRight w:val="0"/>
          <w:marTop w:val="0"/>
          <w:marBottom w:val="0"/>
          <w:divBdr>
            <w:top w:val="none" w:sz="0" w:space="0" w:color="auto"/>
            <w:left w:val="none" w:sz="0" w:space="0" w:color="auto"/>
            <w:bottom w:val="none" w:sz="0" w:space="0" w:color="auto"/>
            <w:right w:val="none" w:sz="0" w:space="0" w:color="auto"/>
          </w:divBdr>
        </w:div>
        <w:div w:id="1991396451">
          <w:marLeft w:val="0"/>
          <w:marRight w:val="0"/>
          <w:marTop w:val="0"/>
          <w:marBottom w:val="0"/>
          <w:divBdr>
            <w:top w:val="none" w:sz="0" w:space="0" w:color="auto"/>
            <w:left w:val="none" w:sz="0" w:space="0" w:color="auto"/>
            <w:bottom w:val="none" w:sz="0" w:space="0" w:color="auto"/>
            <w:right w:val="none" w:sz="0" w:space="0" w:color="auto"/>
          </w:divBdr>
        </w:div>
        <w:div w:id="201216720">
          <w:marLeft w:val="0"/>
          <w:marRight w:val="0"/>
          <w:marTop w:val="0"/>
          <w:marBottom w:val="0"/>
          <w:divBdr>
            <w:top w:val="none" w:sz="0" w:space="0" w:color="auto"/>
            <w:left w:val="none" w:sz="0" w:space="0" w:color="auto"/>
            <w:bottom w:val="none" w:sz="0" w:space="0" w:color="auto"/>
            <w:right w:val="none" w:sz="0" w:space="0" w:color="auto"/>
          </w:divBdr>
        </w:div>
        <w:div w:id="440884091">
          <w:marLeft w:val="0"/>
          <w:marRight w:val="0"/>
          <w:marTop w:val="0"/>
          <w:marBottom w:val="0"/>
          <w:divBdr>
            <w:top w:val="none" w:sz="0" w:space="0" w:color="auto"/>
            <w:left w:val="none" w:sz="0" w:space="0" w:color="auto"/>
            <w:bottom w:val="none" w:sz="0" w:space="0" w:color="auto"/>
            <w:right w:val="none" w:sz="0" w:space="0" w:color="auto"/>
          </w:divBdr>
        </w:div>
        <w:div w:id="789592578">
          <w:marLeft w:val="0"/>
          <w:marRight w:val="0"/>
          <w:marTop w:val="0"/>
          <w:marBottom w:val="0"/>
          <w:divBdr>
            <w:top w:val="none" w:sz="0" w:space="0" w:color="auto"/>
            <w:left w:val="none" w:sz="0" w:space="0" w:color="auto"/>
            <w:bottom w:val="none" w:sz="0" w:space="0" w:color="auto"/>
            <w:right w:val="none" w:sz="0" w:space="0" w:color="auto"/>
          </w:divBdr>
        </w:div>
        <w:div w:id="1951283168">
          <w:marLeft w:val="0"/>
          <w:marRight w:val="0"/>
          <w:marTop w:val="0"/>
          <w:marBottom w:val="0"/>
          <w:divBdr>
            <w:top w:val="none" w:sz="0" w:space="0" w:color="auto"/>
            <w:left w:val="none" w:sz="0" w:space="0" w:color="auto"/>
            <w:bottom w:val="none" w:sz="0" w:space="0" w:color="auto"/>
            <w:right w:val="none" w:sz="0" w:space="0" w:color="auto"/>
          </w:divBdr>
        </w:div>
        <w:div w:id="642808074">
          <w:marLeft w:val="0"/>
          <w:marRight w:val="0"/>
          <w:marTop w:val="0"/>
          <w:marBottom w:val="0"/>
          <w:divBdr>
            <w:top w:val="none" w:sz="0" w:space="0" w:color="auto"/>
            <w:left w:val="none" w:sz="0" w:space="0" w:color="auto"/>
            <w:bottom w:val="none" w:sz="0" w:space="0" w:color="auto"/>
            <w:right w:val="none" w:sz="0" w:space="0" w:color="auto"/>
          </w:divBdr>
        </w:div>
        <w:div w:id="694306812">
          <w:marLeft w:val="0"/>
          <w:marRight w:val="0"/>
          <w:marTop w:val="0"/>
          <w:marBottom w:val="0"/>
          <w:divBdr>
            <w:top w:val="none" w:sz="0" w:space="0" w:color="auto"/>
            <w:left w:val="none" w:sz="0" w:space="0" w:color="auto"/>
            <w:bottom w:val="none" w:sz="0" w:space="0" w:color="auto"/>
            <w:right w:val="none" w:sz="0" w:space="0" w:color="auto"/>
          </w:divBdr>
        </w:div>
        <w:div w:id="662661705">
          <w:marLeft w:val="0"/>
          <w:marRight w:val="0"/>
          <w:marTop w:val="0"/>
          <w:marBottom w:val="0"/>
          <w:divBdr>
            <w:top w:val="none" w:sz="0" w:space="0" w:color="auto"/>
            <w:left w:val="none" w:sz="0" w:space="0" w:color="auto"/>
            <w:bottom w:val="none" w:sz="0" w:space="0" w:color="auto"/>
            <w:right w:val="none" w:sz="0" w:space="0" w:color="auto"/>
          </w:divBdr>
        </w:div>
        <w:div w:id="748387530">
          <w:marLeft w:val="0"/>
          <w:marRight w:val="0"/>
          <w:marTop w:val="0"/>
          <w:marBottom w:val="0"/>
          <w:divBdr>
            <w:top w:val="none" w:sz="0" w:space="0" w:color="auto"/>
            <w:left w:val="none" w:sz="0" w:space="0" w:color="auto"/>
            <w:bottom w:val="none" w:sz="0" w:space="0" w:color="auto"/>
            <w:right w:val="none" w:sz="0" w:space="0" w:color="auto"/>
          </w:divBdr>
        </w:div>
        <w:div w:id="1980764482">
          <w:marLeft w:val="0"/>
          <w:marRight w:val="0"/>
          <w:marTop w:val="0"/>
          <w:marBottom w:val="0"/>
          <w:divBdr>
            <w:top w:val="none" w:sz="0" w:space="0" w:color="auto"/>
            <w:left w:val="none" w:sz="0" w:space="0" w:color="auto"/>
            <w:bottom w:val="none" w:sz="0" w:space="0" w:color="auto"/>
            <w:right w:val="none" w:sz="0" w:space="0" w:color="auto"/>
          </w:divBdr>
        </w:div>
        <w:div w:id="186602385">
          <w:marLeft w:val="0"/>
          <w:marRight w:val="0"/>
          <w:marTop w:val="0"/>
          <w:marBottom w:val="0"/>
          <w:divBdr>
            <w:top w:val="none" w:sz="0" w:space="0" w:color="auto"/>
            <w:left w:val="none" w:sz="0" w:space="0" w:color="auto"/>
            <w:bottom w:val="none" w:sz="0" w:space="0" w:color="auto"/>
            <w:right w:val="none" w:sz="0" w:space="0" w:color="auto"/>
          </w:divBdr>
        </w:div>
        <w:div w:id="257914180">
          <w:marLeft w:val="0"/>
          <w:marRight w:val="0"/>
          <w:marTop w:val="0"/>
          <w:marBottom w:val="0"/>
          <w:divBdr>
            <w:top w:val="none" w:sz="0" w:space="0" w:color="auto"/>
            <w:left w:val="none" w:sz="0" w:space="0" w:color="auto"/>
            <w:bottom w:val="none" w:sz="0" w:space="0" w:color="auto"/>
            <w:right w:val="none" w:sz="0" w:space="0" w:color="auto"/>
          </w:divBdr>
        </w:div>
        <w:div w:id="1458834960">
          <w:marLeft w:val="0"/>
          <w:marRight w:val="0"/>
          <w:marTop w:val="0"/>
          <w:marBottom w:val="0"/>
          <w:divBdr>
            <w:top w:val="none" w:sz="0" w:space="0" w:color="auto"/>
            <w:left w:val="none" w:sz="0" w:space="0" w:color="auto"/>
            <w:bottom w:val="none" w:sz="0" w:space="0" w:color="auto"/>
            <w:right w:val="none" w:sz="0" w:space="0" w:color="auto"/>
          </w:divBdr>
        </w:div>
        <w:div w:id="321130226">
          <w:marLeft w:val="0"/>
          <w:marRight w:val="0"/>
          <w:marTop w:val="0"/>
          <w:marBottom w:val="0"/>
          <w:divBdr>
            <w:top w:val="none" w:sz="0" w:space="0" w:color="auto"/>
            <w:left w:val="none" w:sz="0" w:space="0" w:color="auto"/>
            <w:bottom w:val="none" w:sz="0" w:space="0" w:color="auto"/>
            <w:right w:val="none" w:sz="0" w:space="0" w:color="auto"/>
          </w:divBdr>
        </w:div>
        <w:div w:id="1524710664">
          <w:marLeft w:val="0"/>
          <w:marRight w:val="0"/>
          <w:marTop w:val="0"/>
          <w:marBottom w:val="0"/>
          <w:divBdr>
            <w:top w:val="none" w:sz="0" w:space="0" w:color="auto"/>
            <w:left w:val="none" w:sz="0" w:space="0" w:color="auto"/>
            <w:bottom w:val="none" w:sz="0" w:space="0" w:color="auto"/>
            <w:right w:val="none" w:sz="0" w:space="0" w:color="auto"/>
          </w:divBdr>
        </w:div>
        <w:div w:id="1773233703">
          <w:marLeft w:val="0"/>
          <w:marRight w:val="0"/>
          <w:marTop w:val="0"/>
          <w:marBottom w:val="0"/>
          <w:divBdr>
            <w:top w:val="none" w:sz="0" w:space="0" w:color="auto"/>
            <w:left w:val="none" w:sz="0" w:space="0" w:color="auto"/>
            <w:bottom w:val="none" w:sz="0" w:space="0" w:color="auto"/>
            <w:right w:val="none" w:sz="0" w:space="0" w:color="auto"/>
          </w:divBdr>
        </w:div>
        <w:div w:id="526993236">
          <w:marLeft w:val="0"/>
          <w:marRight w:val="0"/>
          <w:marTop w:val="0"/>
          <w:marBottom w:val="0"/>
          <w:divBdr>
            <w:top w:val="none" w:sz="0" w:space="0" w:color="auto"/>
            <w:left w:val="none" w:sz="0" w:space="0" w:color="auto"/>
            <w:bottom w:val="none" w:sz="0" w:space="0" w:color="auto"/>
            <w:right w:val="none" w:sz="0" w:space="0" w:color="auto"/>
          </w:divBdr>
        </w:div>
        <w:div w:id="96557585">
          <w:marLeft w:val="0"/>
          <w:marRight w:val="0"/>
          <w:marTop w:val="0"/>
          <w:marBottom w:val="0"/>
          <w:divBdr>
            <w:top w:val="none" w:sz="0" w:space="0" w:color="auto"/>
            <w:left w:val="none" w:sz="0" w:space="0" w:color="auto"/>
            <w:bottom w:val="none" w:sz="0" w:space="0" w:color="auto"/>
            <w:right w:val="none" w:sz="0" w:space="0" w:color="auto"/>
          </w:divBdr>
        </w:div>
        <w:div w:id="1890266685">
          <w:marLeft w:val="0"/>
          <w:marRight w:val="0"/>
          <w:marTop w:val="0"/>
          <w:marBottom w:val="0"/>
          <w:divBdr>
            <w:top w:val="none" w:sz="0" w:space="0" w:color="auto"/>
            <w:left w:val="none" w:sz="0" w:space="0" w:color="auto"/>
            <w:bottom w:val="none" w:sz="0" w:space="0" w:color="auto"/>
            <w:right w:val="none" w:sz="0" w:space="0" w:color="auto"/>
          </w:divBdr>
        </w:div>
        <w:div w:id="2141871946">
          <w:marLeft w:val="0"/>
          <w:marRight w:val="0"/>
          <w:marTop w:val="0"/>
          <w:marBottom w:val="0"/>
          <w:divBdr>
            <w:top w:val="none" w:sz="0" w:space="0" w:color="auto"/>
            <w:left w:val="none" w:sz="0" w:space="0" w:color="auto"/>
            <w:bottom w:val="none" w:sz="0" w:space="0" w:color="auto"/>
            <w:right w:val="none" w:sz="0" w:space="0" w:color="auto"/>
          </w:divBdr>
        </w:div>
        <w:div w:id="935164680">
          <w:marLeft w:val="0"/>
          <w:marRight w:val="0"/>
          <w:marTop w:val="0"/>
          <w:marBottom w:val="0"/>
          <w:divBdr>
            <w:top w:val="none" w:sz="0" w:space="0" w:color="auto"/>
            <w:left w:val="none" w:sz="0" w:space="0" w:color="auto"/>
            <w:bottom w:val="none" w:sz="0" w:space="0" w:color="auto"/>
            <w:right w:val="none" w:sz="0" w:space="0" w:color="auto"/>
          </w:divBdr>
        </w:div>
        <w:div w:id="2111779658">
          <w:marLeft w:val="0"/>
          <w:marRight w:val="0"/>
          <w:marTop w:val="0"/>
          <w:marBottom w:val="0"/>
          <w:divBdr>
            <w:top w:val="none" w:sz="0" w:space="0" w:color="auto"/>
            <w:left w:val="none" w:sz="0" w:space="0" w:color="auto"/>
            <w:bottom w:val="none" w:sz="0" w:space="0" w:color="auto"/>
            <w:right w:val="none" w:sz="0" w:space="0" w:color="auto"/>
          </w:divBdr>
        </w:div>
        <w:div w:id="897671715">
          <w:marLeft w:val="0"/>
          <w:marRight w:val="0"/>
          <w:marTop w:val="0"/>
          <w:marBottom w:val="0"/>
          <w:divBdr>
            <w:top w:val="none" w:sz="0" w:space="0" w:color="auto"/>
            <w:left w:val="none" w:sz="0" w:space="0" w:color="auto"/>
            <w:bottom w:val="none" w:sz="0" w:space="0" w:color="auto"/>
            <w:right w:val="none" w:sz="0" w:space="0" w:color="auto"/>
          </w:divBdr>
        </w:div>
        <w:div w:id="1988625540">
          <w:marLeft w:val="0"/>
          <w:marRight w:val="0"/>
          <w:marTop w:val="0"/>
          <w:marBottom w:val="0"/>
          <w:divBdr>
            <w:top w:val="none" w:sz="0" w:space="0" w:color="auto"/>
            <w:left w:val="none" w:sz="0" w:space="0" w:color="auto"/>
            <w:bottom w:val="none" w:sz="0" w:space="0" w:color="auto"/>
            <w:right w:val="none" w:sz="0" w:space="0" w:color="auto"/>
          </w:divBdr>
        </w:div>
        <w:div w:id="1276864207">
          <w:marLeft w:val="0"/>
          <w:marRight w:val="0"/>
          <w:marTop w:val="0"/>
          <w:marBottom w:val="0"/>
          <w:divBdr>
            <w:top w:val="none" w:sz="0" w:space="0" w:color="auto"/>
            <w:left w:val="none" w:sz="0" w:space="0" w:color="auto"/>
            <w:bottom w:val="none" w:sz="0" w:space="0" w:color="auto"/>
            <w:right w:val="none" w:sz="0" w:space="0" w:color="auto"/>
          </w:divBdr>
        </w:div>
        <w:div w:id="790326834">
          <w:marLeft w:val="0"/>
          <w:marRight w:val="0"/>
          <w:marTop w:val="0"/>
          <w:marBottom w:val="0"/>
          <w:divBdr>
            <w:top w:val="none" w:sz="0" w:space="0" w:color="auto"/>
            <w:left w:val="none" w:sz="0" w:space="0" w:color="auto"/>
            <w:bottom w:val="none" w:sz="0" w:space="0" w:color="auto"/>
            <w:right w:val="none" w:sz="0" w:space="0" w:color="auto"/>
          </w:divBdr>
        </w:div>
        <w:div w:id="586811198">
          <w:marLeft w:val="0"/>
          <w:marRight w:val="0"/>
          <w:marTop w:val="0"/>
          <w:marBottom w:val="0"/>
          <w:divBdr>
            <w:top w:val="none" w:sz="0" w:space="0" w:color="auto"/>
            <w:left w:val="none" w:sz="0" w:space="0" w:color="auto"/>
            <w:bottom w:val="none" w:sz="0" w:space="0" w:color="auto"/>
            <w:right w:val="none" w:sz="0" w:space="0" w:color="auto"/>
          </w:divBdr>
        </w:div>
        <w:div w:id="1612853816">
          <w:marLeft w:val="0"/>
          <w:marRight w:val="0"/>
          <w:marTop w:val="0"/>
          <w:marBottom w:val="0"/>
          <w:divBdr>
            <w:top w:val="none" w:sz="0" w:space="0" w:color="auto"/>
            <w:left w:val="none" w:sz="0" w:space="0" w:color="auto"/>
            <w:bottom w:val="none" w:sz="0" w:space="0" w:color="auto"/>
            <w:right w:val="none" w:sz="0" w:space="0" w:color="auto"/>
          </w:divBdr>
        </w:div>
        <w:div w:id="736778584">
          <w:marLeft w:val="0"/>
          <w:marRight w:val="0"/>
          <w:marTop w:val="0"/>
          <w:marBottom w:val="0"/>
          <w:divBdr>
            <w:top w:val="none" w:sz="0" w:space="0" w:color="auto"/>
            <w:left w:val="none" w:sz="0" w:space="0" w:color="auto"/>
            <w:bottom w:val="none" w:sz="0" w:space="0" w:color="auto"/>
            <w:right w:val="none" w:sz="0" w:space="0" w:color="auto"/>
          </w:divBdr>
        </w:div>
        <w:div w:id="909266985">
          <w:marLeft w:val="0"/>
          <w:marRight w:val="0"/>
          <w:marTop w:val="0"/>
          <w:marBottom w:val="0"/>
          <w:divBdr>
            <w:top w:val="none" w:sz="0" w:space="0" w:color="auto"/>
            <w:left w:val="none" w:sz="0" w:space="0" w:color="auto"/>
            <w:bottom w:val="none" w:sz="0" w:space="0" w:color="auto"/>
            <w:right w:val="none" w:sz="0" w:space="0" w:color="auto"/>
          </w:divBdr>
        </w:div>
        <w:div w:id="1109661688">
          <w:marLeft w:val="0"/>
          <w:marRight w:val="0"/>
          <w:marTop w:val="0"/>
          <w:marBottom w:val="0"/>
          <w:divBdr>
            <w:top w:val="none" w:sz="0" w:space="0" w:color="auto"/>
            <w:left w:val="none" w:sz="0" w:space="0" w:color="auto"/>
            <w:bottom w:val="none" w:sz="0" w:space="0" w:color="auto"/>
            <w:right w:val="none" w:sz="0" w:space="0" w:color="auto"/>
          </w:divBdr>
        </w:div>
        <w:div w:id="97065780">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327636679">
          <w:marLeft w:val="0"/>
          <w:marRight w:val="0"/>
          <w:marTop w:val="0"/>
          <w:marBottom w:val="0"/>
          <w:divBdr>
            <w:top w:val="none" w:sz="0" w:space="0" w:color="auto"/>
            <w:left w:val="none" w:sz="0" w:space="0" w:color="auto"/>
            <w:bottom w:val="none" w:sz="0" w:space="0" w:color="auto"/>
            <w:right w:val="none" w:sz="0" w:space="0" w:color="auto"/>
          </w:divBdr>
        </w:div>
        <w:div w:id="670526008">
          <w:marLeft w:val="0"/>
          <w:marRight w:val="0"/>
          <w:marTop w:val="0"/>
          <w:marBottom w:val="0"/>
          <w:divBdr>
            <w:top w:val="none" w:sz="0" w:space="0" w:color="auto"/>
            <w:left w:val="none" w:sz="0" w:space="0" w:color="auto"/>
            <w:bottom w:val="none" w:sz="0" w:space="0" w:color="auto"/>
            <w:right w:val="none" w:sz="0" w:space="0" w:color="auto"/>
          </w:divBdr>
        </w:div>
        <w:div w:id="193543748">
          <w:marLeft w:val="0"/>
          <w:marRight w:val="0"/>
          <w:marTop w:val="0"/>
          <w:marBottom w:val="0"/>
          <w:divBdr>
            <w:top w:val="none" w:sz="0" w:space="0" w:color="auto"/>
            <w:left w:val="none" w:sz="0" w:space="0" w:color="auto"/>
            <w:bottom w:val="none" w:sz="0" w:space="0" w:color="auto"/>
            <w:right w:val="none" w:sz="0" w:space="0" w:color="auto"/>
          </w:divBdr>
        </w:div>
        <w:div w:id="1065447205">
          <w:marLeft w:val="0"/>
          <w:marRight w:val="0"/>
          <w:marTop w:val="0"/>
          <w:marBottom w:val="0"/>
          <w:divBdr>
            <w:top w:val="none" w:sz="0" w:space="0" w:color="auto"/>
            <w:left w:val="none" w:sz="0" w:space="0" w:color="auto"/>
            <w:bottom w:val="none" w:sz="0" w:space="0" w:color="auto"/>
            <w:right w:val="none" w:sz="0" w:space="0" w:color="auto"/>
          </w:divBdr>
        </w:div>
        <w:div w:id="417101918">
          <w:marLeft w:val="0"/>
          <w:marRight w:val="0"/>
          <w:marTop w:val="0"/>
          <w:marBottom w:val="0"/>
          <w:divBdr>
            <w:top w:val="none" w:sz="0" w:space="0" w:color="auto"/>
            <w:left w:val="none" w:sz="0" w:space="0" w:color="auto"/>
            <w:bottom w:val="none" w:sz="0" w:space="0" w:color="auto"/>
            <w:right w:val="none" w:sz="0" w:space="0" w:color="auto"/>
          </w:divBdr>
        </w:div>
        <w:div w:id="1358772787">
          <w:marLeft w:val="0"/>
          <w:marRight w:val="0"/>
          <w:marTop w:val="0"/>
          <w:marBottom w:val="0"/>
          <w:divBdr>
            <w:top w:val="none" w:sz="0" w:space="0" w:color="auto"/>
            <w:left w:val="none" w:sz="0" w:space="0" w:color="auto"/>
            <w:bottom w:val="none" w:sz="0" w:space="0" w:color="auto"/>
            <w:right w:val="none" w:sz="0" w:space="0" w:color="auto"/>
          </w:divBdr>
        </w:div>
        <w:div w:id="1644308125">
          <w:marLeft w:val="0"/>
          <w:marRight w:val="0"/>
          <w:marTop w:val="0"/>
          <w:marBottom w:val="0"/>
          <w:divBdr>
            <w:top w:val="none" w:sz="0" w:space="0" w:color="auto"/>
            <w:left w:val="none" w:sz="0" w:space="0" w:color="auto"/>
            <w:bottom w:val="none" w:sz="0" w:space="0" w:color="auto"/>
            <w:right w:val="none" w:sz="0" w:space="0" w:color="auto"/>
          </w:divBdr>
        </w:div>
        <w:div w:id="1908952281">
          <w:marLeft w:val="0"/>
          <w:marRight w:val="0"/>
          <w:marTop w:val="0"/>
          <w:marBottom w:val="0"/>
          <w:divBdr>
            <w:top w:val="none" w:sz="0" w:space="0" w:color="auto"/>
            <w:left w:val="none" w:sz="0" w:space="0" w:color="auto"/>
            <w:bottom w:val="none" w:sz="0" w:space="0" w:color="auto"/>
            <w:right w:val="none" w:sz="0" w:space="0" w:color="auto"/>
          </w:divBdr>
        </w:div>
        <w:div w:id="953168372">
          <w:marLeft w:val="0"/>
          <w:marRight w:val="0"/>
          <w:marTop w:val="0"/>
          <w:marBottom w:val="0"/>
          <w:divBdr>
            <w:top w:val="none" w:sz="0" w:space="0" w:color="auto"/>
            <w:left w:val="none" w:sz="0" w:space="0" w:color="auto"/>
            <w:bottom w:val="none" w:sz="0" w:space="0" w:color="auto"/>
            <w:right w:val="none" w:sz="0" w:space="0" w:color="auto"/>
          </w:divBdr>
        </w:div>
        <w:div w:id="118762629">
          <w:marLeft w:val="0"/>
          <w:marRight w:val="0"/>
          <w:marTop w:val="0"/>
          <w:marBottom w:val="0"/>
          <w:divBdr>
            <w:top w:val="none" w:sz="0" w:space="0" w:color="auto"/>
            <w:left w:val="none" w:sz="0" w:space="0" w:color="auto"/>
            <w:bottom w:val="none" w:sz="0" w:space="0" w:color="auto"/>
            <w:right w:val="none" w:sz="0" w:space="0" w:color="auto"/>
          </w:divBdr>
        </w:div>
        <w:div w:id="217479003">
          <w:marLeft w:val="0"/>
          <w:marRight w:val="0"/>
          <w:marTop w:val="0"/>
          <w:marBottom w:val="0"/>
          <w:divBdr>
            <w:top w:val="none" w:sz="0" w:space="0" w:color="auto"/>
            <w:left w:val="none" w:sz="0" w:space="0" w:color="auto"/>
            <w:bottom w:val="none" w:sz="0" w:space="0" w:color="auto"/>
            <w:right w:val="none" w:sz="0" w:space="0" w:color="auto"/>
          </w:divBdr>
        </w:div>
        <w:div w:id="17044628">
          <w:marLeft w:val="0"/>
          <w:marRight w:val="0"/>
          <w:marTop w:val="0"/>
          <w:marBottom w:val="0"/>
          <w:divBdr>
            <w:top w:val="none" w:sz="0" w:space="0" w:color="auto"/>
            <w:left w:val="none" w:sz="0" w:space="0" w:color="auto"/>
            <w:bottom w:val="none" w:sz="0" w:space="0" w:color="auto"/>
            <w:right w:val="none" w:sz="0" w:space="0" w:color="auto"/>
          </w:divBdr>
        </w:div>
        <w:div w:id="1918663758">
          <w:marLeft w:val="0"/>
          <w:marRight w:val="0"/>
          <w:marTop w:val="0"/>
          <w:marBottom w:val="0"/>
          <w:divBdr>
            <w:top w:val="none" w:sz="0" w:space="0" w:color="auto"/>
            <w:left w:val="none" w:sz="0" w:space="0" w:color="auto"/>
            <w:bottom w:val="none" w:sz="0" w:space="0" w:color="auto"/>
            <w:right w:val="none" w:sz="0" w:space="0" w:color="auto"/>
          </w:divBdr>
        </w:div>
        <w:div w:id="1554269261">
          <w:marLeft w:val="0"/>
          <w:marRight w:val="0"/>
          <w:marTop w:val="0"/>
          <w:marBottom w:val="0"/>
          <w:divBdr>
            <w:top w:val="none" w:sz="0" w:space="0" w:color="auto"/>
            <w:left w:val="none" w:sz="0" w:space="0" w:color="auto"/>
            <w:bottom w:val="none" w:sz="0" w:space="0" w:color="auto"/>
            <w:right w:val="none" w:sz="0" w:space="0" w:color="auto"/>
          </w:divBdr>
        </w:div>
        <w:div w:id="1348482945">
          <w:marLeft w:val="0"/>
          <w:marRight w:val="0"/>
          <w:marTop w:val="0"/>
          <w:marBottom w:val="0"/>
          <w:divBdr>
            <w:top w:val="none" w:sz="0" w:space="0" w:color="auto"/>
            <w:left w:val="none" w:sz="0" w:space="0" w:color="auto"/>
            <w:bottom w:val="none" w:sz="0" w:space="0" w:color="auto"/>
            <w:right w:val="none" w:sz="0" w:space="0" w:color="auto"/>
          </w:divBdr>
        </w:div>
        <w:div w:id="1614051775">
          <w:marLeft w:val="0"/>
          <w:marRight w:val="0"/>
          <w:marTop w:val="0"/>
          <w:marBottom w:val="0"/>
          <w:divBdr>
            <w:top w:val="none" w:sz="0" w:space="0" w:color="auto"/>
            <w:left w:val="none" w:sz="0" w:space="0" w:color="auto"/>
            <w:bottom w:val="none" w:sz="0" w:space="0" w:color="auto"/>
            <w:right w:val="none" w:sz="0" w:space="0" w:color="auto"/>
          </w:divBdr>
        </w:div>
        <w:div w:id="1012226297">
          <w:marLeft w:val="0"/>
          <w:marRight w:val="0"/>
          <w:marTop w:val="0"/>
          <w:marBottom w:val="0"/>
          <w:divBdr>
            <w:top w:val="none" w:sz="0" w:space="0" w:color="auto"/>
            <w:left w:val="none" w:sz="0" w:space="0" w:color="auto"/>
            <w:bottom w:val="none" w:sz="0" w:space="0" w:color="auto"/>
            <w:right w:val="none" w:sz="0" w:space="0" w:color="auto"/>
          </w:divBdr>
        </w:div>
        <w:div w:id="1567379587">
          <w:marLeft w:val="0"/>
          <w:marRight w:val="0"/>
          <w:marTop w:val="0"/>
          <w:marBottom w:val="0"/>
          <w:divBdr>
            <w:top w:val="none" w:sz="0" w:space="0" w:color="auto"/>
            <w:left w:val="none" w:sz="0" w:space="0" w:color="auto"/>
            <w:bottom w:val="none" w:sz="0" w:space="0" w:color="auto"/>
            <w:right w:val="none" w:sz="0" w:space="0" w:color="auto"/>
          </w:divBdr>
        </w:div>
        <w:div w:id="1661539762">
          <w:marLeft w:val="0"/>
          <w:marRight w:val="0"/>
          <w:marTop w:val="0"/>
          <w:marBottom w:val="0"/>
          <w:divBdr>
            <w:top w:val="none" w:sz="0" w:space="0" w:color="auto"/>
            <w:left w:val="none" w:sz="0" w:space="0" w:color="auto"/>
            <w:bottom w:val="none" w:sz="0" w:space="0" w:color="auto"/>
            <w:right w:val="none" w:sz="0" w:space="0" w:color="auto"/>
          </w:divBdr>
        </w:div>
        <w:div w:id="1724718839">
          <w:marLeft w:val="0"/>
          <w:marRight w:val="0"/>
          <w:marTop w:val="0"/>
          <w:marBottom w:val="0"/>
          <w:divBdr>
            <w:top w:val="none" w:sz="0" w:space="0" w:color="auto"/>
            <w:left w:val="none" w:sz="0" w:space="0" w:color="auto"/>
            <w:bottom w:val="none" w:sz="0" w:space="0" w:color="auto"/>
            <w:right w:val="none" w:sz="0" w:space="0" w:color="auto"/>
          </w:divBdr>
        </w:div>
        <w:div w:id="2041853629">
          <w:marLeft w:val="0"/>
          <w:marRight w:val="0"/>
          <w:marTop w:val="0"/>
          <w:marBottom w:val="0"/>
          <w:divBdr>
            <w:top w:val="none" w:sz="0" w:space="0" w:color="auto"/>
            <w:left w:val="none" w:sz="0" w:space="0" w:color="auto"/>
            <w:bottom w:val="none" w:sz="0" w:space="0" w:color="auto"/>
            <w:right w:val="none" w:sz="0" w:space="0" w:color="auto"/>
          </w:divBdr>
        </w:div>
        <w:div w:id="436289539">
          <w:marLeft w:val="0"/>
          <w:marRight w:val="0"/>
          <w:marTop w:val="0"/>
          <w:marBottom w:val="0"/>
          <w:divBdr>
            <w:top w:val="none" w:sz="0" w:space="0" w:color="auto"/>
            <w:left w:val="none" w:sz="0" w:space="0" w:color="auto"/>
            <w:bottom w:val="none" w:sz="0" w:space="0" w:color="auto"/>
            <w:right w:val="none" w:sz="0" w:space="0" w:color="auto"/>
          </w:divBdr>
        </w:div>
        <w:div w:id="1394083850">
          <w:marLeft w:val="0"/>
          <w:marRight w:val="0"/>
          <w:marTop w:val="0"/>
          <w:marBottom w:val="0"/>
          <w:divBdr>
            <w:top w:val="none" w:sz="0" w:space="0" w:color="auto"/>
            <w:left w:val="none" w:sz="0" w:space="0" w:color="auto"/>
            <w:bottom w:val="none" w:sz="0" w:space="0" w:color="auto"/>
            <w:right w:val="none" w:sz="0" w:space="0" w:color="auto"/>
          </w:divBdr>
        </w:div>
        <w:div w:id="1718892839">
          <w:marLeft w:val="0"/>
          <w:marRight w:val="0"/>
          <w:marTop w:val="0"/>
          <w:marBottom w:val="0"/>
          <w:divBdr>
            <w:top w:val="none" w:sz="0" w:space="0" w:color="auto"/>
            <w:left w:val="none" w:sz="0" w:space="0" w:color="auto"/>
            <w:bottom w:val="none" w:sz="0" w:space="0" w:color="auto"/>
            <w:right w:val="none" w:sz="0" w:space="0" w:color="auto"/>
          </w:divBdr>
        </w:div>
        <w:div w:id="876310246">
          <w:marLeft w:val="0"/>
          <w:marRight w:val="0"/>
          <w:marTop w:val="0"/>
          <w:marBottom w:val="0"/>
          <w:divBdr>
            <w:top w:val="none" w:sz="0" w:space="0" w:color="auto"/>
            <w:left w:val="none" w:sz="0" w:space="0" w:color="auto"/>
            <w:bottom w:val="none" w:sz="0" w:space="0" w:color="auto"/>
            <w:right w:val="none" w:sz="0" w:space="0" w:color="auto"/>
          </w:divBdr>
        </w:div>
        <w:div w:id="677736303">
          <w:marLeft w:val="0"/>
          <w:marRight w:val="0"/>
          <w:marTop w:val="0"/>
          <w:marBottom w:val="0"/>
          <w:divBdr>
            <w:top w:val="none" w:sz="0" w:space="0" w:color="auto"/>
            <w:left w:val="none" w:sz="0" w:space="0" w:color="auto"/>
            <w:bottom w:val="none" w:sz="0" w:space="0" w:color="auto"/>
            <w:right w:val="none" w:sz="0" w:space="0" w:color="auto"/>
          </w:divBdr>
        </w:div>
        <w:div w:id="331033354">
          <w:marLeft w:val="0"/>
          <w:marRight w:val="0"/>
          <w:marTop w:val="0"/>
          <w:marBottom w:val="0"/>
          <w:divBdr>
            <w:top w:val="none" w:sz="0" w:space="0" w:color="auto"/>
            <w:left w:val="none" w:sz="0" w:space="0" w:color="auto"/>
            <w:bottom w:val="none" w:sz="0" w:space="0" w:color="auto"/>
            <w:right w:val="none" w:sz="0" w:space="0" w:color="auto"/>
          </w:divBdr>
        </w:div>
        <w:div w:id="987902112">
          <w:marLeft w:val="0"/>
          <w:marRight w:val="0"/>
          <w:marTop w:val="0"/>
          <w:marBottom w:val="0"/>
          <w:divBdr>
            <w:top w:val="none" w:sz="0" w:space="0" w:color="auto"/>
            <w:left w:val="none" w:sz="0" w:space="0" w:color="auto"/>
            <w:bottom w:val="none" w:sz="0" w:space="0" w:color="auto"/>
            <w:right w:val="none" w:sz="0" w:space="0" w:color="auto"/>
          </w:divBdr>
        </w:div>
        <w:div w:id="197157736">
          <w:marLeft w:val="0"/>
          <w:marRight w:val="0"/>
          <w:marTop w:val="0"/>
          <w:marBottom w:val="0"/>
          <w:divBdr>
            <w:top w:val="none" w:sz="0" w:space="0" w:color="auto"/>
            <w:left w:val="none" w:sz="0" w:space="0" w:color="auto"/>
            <w:bottom w:val="none" w:sz="0" w:space="0" w:color="auto"/>
            <w:right w:val="none" w:sz="0" w:space="0" w:color="auto"/>
          </w:divBdr>
        </w:div>
        <w:div w:id="974289507">
          <w:marLeft w:val="0"/>
          <w:marRight w:val="0"/>
          <w:marTop w:val="0"/>
          <w:marBottom w:val="0"/>
          <w:divBdr>
            <w:top w:val="none" w:sz="0" w:space="0" w:color="auto"/>
            <w:left w:val="none" w:sz="0" w:space="0" w:color="auto"/>
            <w:bottom w:val="none" w:sz="0" w:space="0" w:color="auto"/>
            <w:right w:val="none" w:sz="0" w:space="0" w:color="auto"/>
          </w:divBdr>
        </w:div>
        <w:div w:id="1356038126">
          <w:marLeft w:val="0"/>
          <w:marRight w:val="0"/>
          <w:marTop w:val="0"/>
          <w:marBottom w:val="0"/>
          <w:divBdr>
            <w:top w:val="none" w:sz="0" w:space="0" w:color="auto"/>
            <w:left w:val="none" w:sz="0" w:space="0" w:color="auto"/>
            <w:bottom w:val="none" w:sz="0" w:space="0" w:color="auto"/>
            <w:right w:val="none" w:sz="0" w:space="0" w:color="auto"/>
          </w:divBdr>
        </w:div>
        <w:div w:id="1852914860">
          <w:marLeft w:val="0"/>
          <w:marRight w:val="0"/>
          <w:marTop w:val="0"/>
          <w:marBottom w:val="0"/>
          <w:divBdr>
            <w:top w:val="none" w:sz="0" w:space="0" w:color="auto"/>
            <w:left w:val="none" w:sz="0" w:space="0" w:color="auto"/>
            <w:bottom w:val="none" w:sz="0" w:space="0" w:color="auto"/>
            <w:right w:val="none" w:sz="0" w:space="0" w:color="auto"/>
          </w:divBdr>
        </w:div>
        <w:div w:id="733351928">
          <w:marLeft w:val="0"/>
          <w:marRight w:val="0"/>
          <w:marTop w:val="0"/>
          <w:marBottom w:val="0"/>
          <w:divBdr>
            <w:top w:val="none" w:sz="0" w:space="0" w:color="auto"/>
            <w:left w:val="none" w:sz="0" w:space="0" w:color="auto"/>
            <w:bottom w:val="none" w:sz="0" w:space="0" w:color="auto"/>
            <w:right w:val="none" w:sz="0" w:space="0" w:color="auto"/>
          </w:divBdr>
        </w:div>
        <w:div w:id="582689605">
          <w:marLeft w:val="0"/>
          <w:marRight w:val="0"/>
          <w:marTop w:val="0"/>
          <w:marBottom w:val="0"/>
          <w:divBdr>
            <w:top w:val="none" w:sz="0" w:space="0" w:color="auto"/>
            <w:left w:val="none" w:sz="0" w:space="0" w:color="auto"/>
            <w:bottom w:val="none" w:sz="0" w:space="0" w:color="auto"/>
            <w:right w:val="none" w:sz="0" w:space="0" w:color="auto"/>
          </w:divBdr>
        </w:div>
        <w:div w:id="662002907">
          <w:marLeft w:val="0"/>
          <w:marRight w:val="0"/>
          <w:marTop w:val="0"/>
          <w:marBottom w:val="0"/>
          <w:divBdr>
            <w:top w:val="none" w:sz="0" w:space="0" w:color="auto"/>
            <w:left w:val="none" w:sz="0" w:space="0" w:color="auto"/>
            <w:bottom w:val="none" w:sz="0" w:space="0" w:color="auto"/>
            <w:right w:val="none" w:sz="0" w:space="0" w:color="auto"/>
          </w:divBdr>
        </w:div>
        <w:div w:id="1819570640">
          <w:marLeft w:val="0"/>
          <w:marRight w:val="0"/>
          <w:marTop w:val="0"/>
          <w:marBottom w:val="0"/>
          <w:divBdr>
            <w:top w:val="none" w:sz="0" w:space="0" w:color="auto"/>
            <w:left w:val="none" w:sz="0" w:space="0" w:color="auto"/>
            <w:bottom w:val="none" w:sz="0" w:space="0" w:color="auto"/>
            <w:right w:val="none" w:sz="0" w:space="0" w:color="auto"/>
          </w:divBdr>
        </w:div>
        <w:div w:id="1891304898">
          <w:marLeft w:val="0"/>
          <w:marRight w:val="0"/>
          <w:marTop w:val="0"/>
          <w:marBottom w:val="0"/>
          <w:divBdr>
            <w:top w:val="none" w:sz="0" w:space="0" w:color="auto"/>
            <w:left w:val="none" w:sz="0" w:space="0" w:color="auto"/>
            <w:bottom w:val="none" w:sz="0" w:space="0" w:color="auto"/>
            <w:right w:val="none" w:sz="0" w:space="0" w:color="auto"/>
          </w:divBdr>
        </w:div>
        <w:div w:id="1588491478">
          <w:marLeft w:val="0"/>
          <w:marRight w:val="0"/>
          <w:marTop w:val="0"/>
          <w:marBottom w:val="0"/>
          <w:divBdr>
            <w:top w:val="none" w:sz="0" w:space="0" w:color="auto"/>
            <w:left w:val="none" w:sz="0" w:space="0" w:color="auto"/>
            <w:bottom w:val="none" w:sz="0" w:space="0" w:color="auto"/>
            <w:right w:val="none" w:sz="0" w:space="0" w:color="auto"/>
          </w:divBdr>
        </w:div>
        <w:div w:id="1797602857">
          <w:marLeft w:val="0"/>
          <w:marRight w:val="0"/>
          <w:marTop w:val="0"/>
          <w:marBottom w:val="0"/>
          <w:divBdr>
            <w:top w:val="none" w:sz="0" w:space="0" w:color="auto"/>
            <w:left w:val="none" w:sz="0" w:space="0" w:color="auto"/>
            <w:bottom w:val="none" w:sz="0" w:space="0" w:color="auto"/>
            <w:right w:val="none" w:sz="0" w:space="0" w:color="auto"/>
          </w:divBdr>
        </w:div>
        <w:div w:id="1012102450">
          <w:marLeft w:val="0"/>
          <w:marRight w:val="0"/>
          <w:marTop w:val="0"/>
          <w:marBottom w:val="0"/>
          <w:divBdr>
            <w:top w:val="none" w:sz="0" w:space="0" w:color="auto"/>
            <w:left w:val="none" w:sz="0" w:space="0" w:color="auto"/>
            <w:bottom w:val="none" w:sz="0" w:space="0" w:color="auto"/>
            <w:right w:val="none" w:sz="0" w:space="0" w:color="auto"/>
          </w:divBdr>
        </w:div>
        <w:div w:id="851576125">
          <w:marLeft w:val="0"/>
          <w:marRight w:val="0"/>
          <w:marTop w:val="0"/>
          <w:marBottom w:val="0"/>
          <w:divBdr>
            <w:top w:val="none" w:sz="0" w:space="0" w:color="auto"/>
            <w:left w:val="none" w:sz="0" w:space="0" w:color="auto"/>
            <w:bottom w:val="none" w:sz="0" w:space="0" w:color="auto"/>
            <w:right w:val="none" w:sz="0" w:space="0" w:color="auto"/>
          </w:divBdr>
        </w:div>
        <w:div w:id="1858302217">
          <w:marLeft w:val="0"/>
          <w:marRight w:val="0"/>
          <w:marTop w:val="0"/>
          <w:marBottom w:val="0"/>
          <w:divBdr>
            <w:top w:val="none" w:sz="0" w:space="0" w:color="auto"/>
            <w:left w:val="none" w:sz="0" w:space="0" w:color="auto"/>
            <w:bottom w:val="none" w:sz="0" w:space="0" w:color="auto"/>
            <w:right w:val="none" w:sz="0" w:space="0" w:color="auto"/>
          </w:divBdr>
        </w:div>
      </w:divsChild>
    </w:div>
    <w:div w:id="633220656">
      <w:bodyDiv w:val="1"/>
      <w:marLeft w:val="0"/>
      <w:marRight w:val="0"/>
      <w:marTop w:val="0"/>
      <w:marBottom w:val="0"/>
      <w:divBdr>
        <w:top w:val="none" w:sz="0" w:space="0" w:color="auto"/>
        <w:left w:val="none" w:sz="0" w:space="0" w:color="auto"/>
        <w:bottom w:val="none" w:sz="0" w:space="0" w:color="auto"/>
        <w:right w:val="none" w:sz="0" w:space="0" w:color="auto"/>
      </w:divBdr>
    </w:div>
    <w:div w:id="20428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A6F-8FB3-435C-848F-F73A61C69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7F456-BAF1-4FF8-8ADB-85D36DB27F6F}">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customXml/itemProps3.xml><?xml version="1.0" encoding="utf-8"?>
<ds:datastoreItem xmlns:ds="http://schemas.openxmlformats.org/officeDocument/2006/customXml" ds:itemID="{0A1E00D9-700B-48FA-B8BC-1C98EBDAD282}">
  <ds:schemaRefs>
    <ds:schemaRef ds:uri="http://schemas.microsoft.com/sharepoint/v3/contenttype/forms"/>
  </ds:schemaRefs>
</ds:datastoreItem>
</file>

<file path=customXml/itemProps4.xml><?xml version="1.0" encoding="utf-8"?>
<ds:datastoreItem xmlns:ds="http://schemas.openxmlformats.org/officeDocument/2006/customXml" ds:itemID="{68847747-38FF-4CD0-96E5-D2D5353D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11150</Words>
  <Characters>63560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74561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ITG</dc:creator>
  <cp:lastModifiedBy>Steve Brauner</cp:lastModifiedBy>
  <cp:revision>4</cp:revision>
  <cp:lastPrinted>2024-07-30T23:01:00Z</cp:lastPrinted>
  <dcterms:created xsi:type="dcterms:W3CDTF">2024-07-30T23:00:00Z</dcterms:created>
  <dcterms:modified xsi:type="dcterms:W3CDTF">2024-07-30T23:01:00Z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ZOTERO_PREF_1">
    <vt:lpwstr>&lt;data data-version="3" zotero-version="6.0.36"&gt;&lt;session id="Oe7kcvMl"/&gt;&lt;style id="http://www.zotero.org/styles/chicago-author-date" locale="en-US" hasBibliography="1" bibliographyStyleHasBeenSet="1"/&gt;&lt;prefs&gt;&lt;pref name="fieldType" value="Field"/&gt;&lt;/prefs&gt;&lt;/</vt:lpwstr>
  </property>
  <property fmtid="{D5CDD505-2E9C-101B-9397-08002B2CF9AE}" pid="4" name="ZOTERO_PREF_2">
    <vt:lpwstr>data&gt;</vt:lpwstr>
  </property>
  <property fmtid="{D5CDD505-2E9C-101B-9397-08002B2CF9AE}" pid="5" name="MediaServiceImageTags">
    <vt:lpwstr/>
  </property>
</Properties>
</file>